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91" w:rsidRDefault="004B136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南安市发展和改革局</w:t>
      </w:r>
      <w:r w:rsidR="00075780" w:rsidRPr="00075780">
        <w:rPr>
          <w:rFonts w:ascii="方正小标宋简体" w:eastAsia="方正小标宋简体" w:hAnsi="方正小标宋简体" w:cs="方正小标宋简体" w:hint="eastAsia"/>
          <w:sz w:val="44"/>
          <w:szCs w:val="44"/>
        </w:rPr>
        <w:t>地方政府专项债券项目资金的监管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随机抽查小组人员名录库</w:t>
      </w:r>
    </w:p>
    <w:p w:rsidR="00974591" w:rsidRDefault="00974591">
      <w:pPr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142"/>
        <w:gridCol w:w="2657"/>
        <w:gridCol w:w="2278"/>
      </w:tblGrid>
      <w:tr w:rsidR="00974591">
        <w:trPr>
          <w:trHeight w:val="660"/>
        </w:trPr>
        <w:tc>
          <w:tcPr>
            <w:tcW w:w="1041" w:type="dxa"/>
          </w:tcPr>
          <w:p w:rsidR="00974591" w:rsidRDefault="004B136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2142" w:type="dxa"/>
          </w:tcPr>
          <w:p w:rsidR="00974591" w:rsidRDefault="004B136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抽查事项</w:t>
            </w:r>
          </w:p>
        </w:tc>
        <w:tc>
          <w:tcPr>
            <w:tcW w:w="2657" w:type="dxa"/>
          </w:tcPr>
          <w:p w:rsidR="00974591" w:rsidRDefault="004B136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  <w:tc>
          <w:tcPr>
            <w:tcW w:w="2278" w:type="dxa"/>
          </w:tcPr>
          <w:p w:rsidR="00974591" w:rsidRDefault="004B1368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抽查小组人员</w:t>
            </w:r>
          </w:p>
        </w:tc>
      </w:tr>
      <w:tr w:rsidR="00974591">
        <w:trPr>
          <w:trHeight w:val="947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142" w:type="dxa"/>
            <w:vMerge w:val="restart"/>
            <w:vAlign w:val="center"/>
          </w:tcPr>
          <w:p w:rsidR="00974591" w:rsidRDefault="004B136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地方政府专项债券等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项目资金执行情况的监督检查</w:t>
            </w:r>
          </w:p>
        </w:tc>
        <w:tc>
          <w:tcPr>
            <w:tcW w:w="2657" w:type="dxa"/>
            <w:vMerge w:val="restart"/>
            <w:vAlign w:val="center"/>
          </w:tcPr>
          <w:p w:rsidR="00974591" w:rsidRDefault="004B136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产业科、计财与公管科</w:t>
            </w: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侯建发</w:t>
            </w:r>
          </w:p>
        </w:tc>
      </w:tr>
      <w:tr w:rsidR="00974591">
        <w:trPr>
          <w:trHeight w:val="947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142" w:type="dxa"/>
            <w:vMerge/>
            <w:vAlign w:val="center"/>
          </w:tcPr>
          <w:p w:rsidR="00974591" w:rsidRDefault="00974591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/>
            <w:vAlign w:val="center"/>
          </w:tcPr>
          <w:p w:rsidR="00974591" w:rsidRDefault="009745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黄晓峥</w:t>
            </w:r>
          </w:p>
        </w:tc>
      </w:tr>
      <w:tr w:rsidR="00974591">
        <w:trPr>
          <w:trHeight w:val="984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142" w:type="dxa"/>
            <w:vMerge/>
            <w:vAlign w:val="center"/>
          </w:tcPr>
          <w:p w:rsidR="00974591" w:rsidRDefault="00974591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/>
            <w:vAlign w:val="center"/>
          </w:tcPr>
          <w:p w:rsidR="00974591" w:rsidRDefault="009745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陈小萍</w:t>
            </w:r>
          </w:p>
        </w:tc>
      </w:tr>
      <w:tr w:rsidR="00974591">
        <w:trPr>
          <w:trHeight w:val="947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142" w:type="dxa"/>
            <w:vMerge/>
            <w:vAlign w:val="center"/>
          </w:tcPr>
          <w:p w:rsidR="00974591" w:rsidRDefault="00974591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/>
            <w:vAlign w:val="center"/>
          </w:tcPr>
          <w:p w:rsidR="00974591" w:rsidRDefault="009745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周欣莹</w:t>
            </w:r>
          </w:p>
        </w:tc>
      </w:tr>
      <w:tr w:rsidR="00974591">
        <w:trPr>
          <w:trHeight w:val="947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142" w:type="dxa"/>
            <w:vMerge/>
            <w:vAlign w:val="center"/>
          </w:tcPr>
          <w:p w:rsidR="00974591" w:rsidRDefault="00974591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/>
            <w:vAlign w:val="center"/>
          </w:tcPr>
          <w:p w:rsidR="00974591" w:rsidRDefault="009745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鄞阿琼</w:t>
            </w:r>
          </w:p>
        </w:tc>
      </w:tr>
      <w:tr w:rsidR="00974591">
        <w:trPr>
          <w:trHeight w:val="947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142" w:type="dxa"/>
            <w:vMerge/>
            <w:vAlign w:val="center"/>
          </w:tcPr>
          <w:p w:rsidR="00974591" w:rsidRDefault="00974591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/>
            <w:vAlign w:val="center"/>
          </w:tcPr>
          <w:p w:rsidR="00974591" w:rsidRDefault="009745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洪海华</w:t>
            </w:r>
          </w:p>
        </w:tc>
      </w:tr>
      <w:tr w:rsidR="00974591">
        <w:trPr>
          <w:trHeight w:val="947"/>
        </w:trPr>
        <w:tc>
          <w:tcPr>
            <w:tcW w:w="1041" w:type="dxa"/>
            <w:vAlign w:val="center"/>
          </w:tcPr>
          <w:p w:rsidR="00974591" w:rsidRDefault="004B136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142" w:type="dxa"/>
            <w:vMerge/>
            <w:vAlign w:val="center"/>
          </w:tcPr>
          <w:p w:rsidR="00974591" w:rsidRDefault="00974591">
            <w:pPr>
              <w:widowControl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657" w:type="dxa"/>
            <w:vMerge/>
            <w:vAlign w:val="center"/>
          </w:tcPr>
          <w:p w:rsidR="00974591" w:rsidRDefault="0097459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74591" w:rsidRDefault="004B136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杨培元</w:t>
            </w:r>
          </w:p>
        </w:tc>
      </w:tr>
    </w:tbl>
    <w:p w:rsidR="00974591" w:rsidRDefault="00974591">
      <w:pPr>
        <w:rPr>
          <w:rFonts w:ascii="仿宋_GB2312" w:eastAsia="仿宋_GB2312" w:hAnsi="仿宋_GB2312" w:cs="仿宋_GB2312"/>
          <w:sz w:val="32"/>
          <w:szCs w:val="32"/>
        </w:rPr>
      </w:pPr>
    </w:p>
    <w:p w:rsidR="00974591" w:rsidRDefault="00974591">
      <w:pPr>
        <w:rPr>
          <w:rFonts w:ascii="仿宋_GB2312" w:eastAsia="仿宋_GB2312" w:hAnsi="仿宋_GB2312" w:cs="仿宋_GB2312"/>
          <w:sz w:val="32"/>
          <w:szCs w:val="32"/>
        </w:rPr>
      </w:pPr>
    </w:p>
    <w:p w:rsidR="00974591" w:rsidRDefault="00974591"/>
    <w:sectPr w:rsidR="00974591" w:rsidSect="0097459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68" w:rsidRDefault="004B1368" w:rsidP="00075780">
      <w:r>
        <w:separator/>
      </w:r>
    </w:p>
  </w:endnote>
  <w:endnote w:type="continuationSeparator" w:id="0">
    <w:p w:rsidR="004B1368" w:rsidRDefault="004B1368" w:rsidP="0007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68" w:rsidRDefault="004B1368" w:rsidP="00075780">
      <w:r>
        <w:separator/>
      </w:r>
    </w:p>
  </w:footnote>
  <w:footnote w:type="continuationSeparator" w:id="0">
    <w:p w:rsidR="004B1368" w:rsidRDefault="004B1368" w:rsidP="0007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RlNmU5NzM0MGJjZGQ0Njk0NDM3YTFkY2RiYThmMTgifQ=="/>
  </w:docVars>
  <w:rsids>
    <w:rsidRoot w:val="7B82224E"/>
    <w:rsid w:val="00075780"/>
    <w:rsid w:val="004B1368"/>
    <w:rsid w:val="00974591"/>
    <w:rsid w:val="11AF4BBA"/>
    <w:rsid w:val="18B31B6D"/>
    <w:rsid w:val="1B961B24"/>
    <w:rsid w:val="289F15C5"/>
    <w:rsid w:val="33C44425"/>
    <w:rsid w:val="3E5B15D9"/>
    <w:rsid w:val="3F841CFC"/>
    <w:rsid w:val="4174681A"/>
    <w:rsid w:val="50740B35"/>
    <w:rsid w:val="6AE270D3"/>
    <w:rsid w:val="6C3F3D03"/>
    <w:rsid w:val="733F57B6"/>
    <w:rsid w:val="7B82224E"/>
    <w:rsid w:val="7CAE5B89"/>
    <w:rsid w:val="7E491FC4"/>
    <w:rsid w:val="7F52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5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5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578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75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57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玲</dc:creator>
  <cp:lastModifiedBy>Administrator</cp:lastModifiedBy>
  <cp:revision>2</cp:revision>
  <dcterms:created xsi:type="dcterms:W3CDTF">2021-06-23T12:58:00Z</dcterms:created>
  <dcterms:modified xsi:type="dcterms:W3CDTF">2022-06-30T00:04:00Z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42E6EFB0973948809BAD424E17691C1C</vt:lpwstr>
  </property>
</Properties>
</file>