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C5D5E">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方正小标宋简体"/>
          <w:b w:val="0"/>
          <w:bCs/>
          <w:sz w:val="44"/>
          <w:szCs w:val="44"/>
        </w:rPr>
      </w:pPr>
    </w:p>
    <w:p w14:paraId="1FEFC415">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方正小标宋简体"/>
          <w:b w:val="0"/>
          <w:bCs/>
          <w:sz w:val="44"/>
          <w:szCs w:val="44"/>
        </w:rPr>
      </w:pPr>
    </w:p>
    <w:p w14:paraId="3BD5F1DD">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方正小标宋简体"/>
          <w:b w:val="0"/>
          <w:bCs/>
          <w:sz w:val="44"/>
          <w:szCs w:val="44"/>
        </w:rPr>
      </w:pPr>
    </w:p>
    <w:p w14:paraId="54E493CD">
      <w:pPr>
        <w:keepNext w:val="0"/>
        <w:keepLines w:val="0"/>
        <w:pageBreakBefore w:val="0"/>
        <w:widowControl w:val="0"/>
        <w:kinsoku/>
        <w:wordWrap/>
        <w:overflowPunct/>
        <w:topLinePunct w:val="0"/>
        <w:autoSpaceDE/>
        <w:autoSpaceDN/>
        <w:bidi w:val="0"/>
        <w:adjustRightInd/>
        <w:snapToGrid/>
        <w:spacing w:line="480" w:lineRule="exact"/>
        <w:textAlignment w:val="auto"/>
      </w:pPr>
    </w:p>
    <w:p w14:paraId="4D11D20A">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方正小标宋简体"/>
          <w:b w:val="0"/>
          <w:bCs/>
          <w:sz w:val="44"/>
          <w:szCs w:val="44"/>
        </w:rPr>
      </w:pPr>
    </w:p>
    <w:p w14:paraId="00C455E7">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eastAsia="方正小标宋简体"/>
          <w:b w:val="0"/>
          <w:bCs/>
          <w:sz w:val="44"/>
          <w:szCs w:val="44"/>
        </w:rPr>
      </w:pPr>
    </w:p>
    <w:p w14:paraId="1AD123C1">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eastAsia="方正小标宋简体"/>
          <w:b w:val="0"/>
          <w:bCs/>
          <w:sz w:val="44"/>
          <w:szCs w:val="44"/>
        </w:rPr>
      </w:pPr>
    </w:p>
    <w:p w14:paraId="3BBE8D5B">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eastAsia="方正小标宋简体"/>
          <w:b w:val="0"/>
          <w:bCs/>
          <w:sz w:val="44"/>
          <w:szCs w:val="44"/>
        </w:rPr>
      </w:pPr>
    </w:p>
    <w:p w14:paraId="445043C3">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b w:val="0"/>
          <w:bCs/>
          <w:sz w:val="32"/>
          <w:szCs w:val="40"/>
        </w:rPr>
      </w:pPr>
      <w:r>
        <w:rPr>
          <w:rFonts w:hint="default" w:ascii="Times New Roman" w:hAnsi="Times New Roman" w:eastAsia="仿宋_GB2312" w:cs="Times New Roman"/>
          <w:b w:val="0"/>
          <w:bCs/>
          <w:sz w:val="32"/>
          <w:szCs w:val="40"/>
        </w:rPr>
        <w:t>南康政〔202</w:t>
      </w:r>
      <w:r>
        <w:rPr>
          <w:rFonts w:hint="eastAsia" w:ascii="Times New Roman" w:hAnsi="Times New Roman" w:eastAsia="仿宋_GB2312" w:cs="Times New Roman"/>
          <w:b w:val="0"/>
          <w:bCs/>
          <w:sz w:val="32"/>
          <w:szCs w:val="40"/>
          <w:lang w:val="en-US" w:eastAsia="zh-CN"/>
        </w:rPr>
        <w:t>5</w:t>
      </w:r>
      <w:r>
        <w:rPr>
          <w:rFonts w:hint="default" w:ascii="Times New Roman" w:hAnsi="Times New Roman" w:eastAsia="仿宋_GB2312" w:cs="Times New Roman"/>
          <w:b w:val="0"/>
          <w:bCs/>
          <w:sz w:val="32"/>
          <w:szCs w:val="40"/>
        </w:rPr>
        <w:t>〕</w:t>
      </w:r>
      <w:r>
        <w:rPr>
          <w:rFonts w:hint="eastAsia" w:ascii="Times New Roman" w:hAnsi="Times New Roman" w:cs="Times New Roman"/>
          <w:b w:val="0"/>
          <w:bCs/>
          <w:sz w:val="32"/>
          <w:szCs w:val="40"/>
          <w:lang w:val="en-US" w:eastAsia="zh-CN"/>
        </w:rPr>
        <w:t>3</w:t>
      </w:r>
      <w:r>
        <w:rPr>
          <w:rFonts w:hint="default" w:ascii="Times New Roman" w:hAnsi="Times New Roman" w:eastAsia="仿宋_GB2312" w:cs="Times New Roman"/>
          <w:b w:val="0"/>
          <w:bCs/>
          <w:sz w:val="32"/>
          <w:szCs w:val="40"/>
        </w:rPr>
        <w:t>号</w:t>
      </w:r>
    </w:p>
    <w:p w14:paraId="2DF5BE65">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14:paraId="21D66495">
      <w:pPr>
        <w:pStyle w:val="8"/>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60" w:lineRule="exact"/>
        <w:textAlignment w:val="auto"/>
        <w:rPr>
          <w:b w:val="0"/>
          <w:bCs/>
        </w:rPr>
      </w:pPr>
    </w:p>
    <w:p w14:paraId="4E85422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南安市康美镇人民政府2024年政府</w:t>
      </w:r>
    </w:p>
    <w:p w14:paraId="3CF462F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信息公开工作年度报告</w:t>
      </w:r>
    </w:p>
    <w:p w14:paraId="18DAF9B7">
      <w:pPr>
        <w:pStyle w:val="8"/>
        <w:keepNext w:val="0"/>
        <w:keepLines w:val="0"/>
        <w:pageBreakBefore w:val="0"/>
        <w:kinsoku/>
        <w:wordWrap/>
        <w:overflowPunct/>
        <w:topLinePunct w:val="0"/>
        <w:autoSpaceDN/>
        <w:bidi w:val="0"/>
        <w:adjustRightInd/>
        <w:snapToGrid/>
        <w:spacing w:line="560" w:lineRule="exact"/>
        <w:textAlignment w:val="auto"/>
        <w:rPr>
          <w:rFonts w:hint="eastAsia"/>
          <w:lang w:val="en-US" w:eastAsia="zh-CN"/>
        </w:rPr>
      </w:pPr>
    </w:p>
    <w:p w14:paraId="3BCAC0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32"/>
          <w:sz w:val="32"/>
          <w:szCs w:val="32"/>
          <w:lang w:val="en-US" w:eastAsia="zh-CN" w:bidi="ar"/>
        </w:rPr>
      </w:pPr>
      <w:r>
        <w:rPr>
          <w:rFonts w:hint="default" w:ascii="Times New Roman" w:hAnsi="Times New Roman" w:eastAsia="仿宋_GB2312" w:cs="Times New Roman"/>
          <w:color w:val="000000"/>
          <w:kern w:val="32"/>
          <w:sz w:val="32"/>
          <w:szCs w:val="32"/>
          <w:lang w:val="en-US" w:eastAsia="zh-CN" w:bidi="ar"/>
        </w:rPr>
        <w:t>根据《中华人民共和国政府信息公开条例》规定，现公布202</w:t>
      </w:r>
      <w:r>
        <w:rPr>
          <w:rFonts w:hint="eastAsia" w:ascii="Times New Roman" w:hAnsi="Times New Roman" w:eastAsia="仿宋_GB2312" w:cs="Times New Roman"/>
          <w:color w:val="000000"/>
          <w:kern w:val="32"/>
          <w:sz w:val="32"/>
          <w:szCs w:val="32"/>
          <w:lang w:val="en-US" w:eastAsia="zh-CN" w:bidi="ar"/>
        </w:rPr>
        <w:t>4</w:t>
      </w:r>
      <w:r>
        <w:rPr>
          <w:rFonts w:hint="default" w:ascii="Times New Roman" w:hAnsi="Times New Roman" w:eastAsia="仿宋_GB2312" w:cs="Times New Roman"/>
          <w:color w:val="000000"/>
          <w:kern w:val="32"/>
          <w:sz w:val="32"/>
          <w:szCs w:val="32"/>
          <w:lang w:val="en-US" w:eastAsia="zh-CN" w:bidi="ar"/>
        </w:rPr>
        <w:t xml:space="preserve">年康美镇政府信息公开工作年度报告。本年报由总体情况，行政机关主动公开政府信息情况，行政机关收到和处理政府信息公开申请情况，因政府信息公开工作被申请行政复议、提起行政诉讼情况，政府信息公开工作存在的主要问题及改进情况，其他需要报告的事项六部分组成。 </w:t>
      </w:r>
    </w:p>
    <w:p w14:paraId="6F0FC4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32"/>
          <w:sz w:val="32"/>
          <w:szCs w:val="32"/>
          <w:lang w:val="en-US" w:eastAsia="zh-CN" w:bidi="ar"/>
        </w:rPr>
      </w:pPr>
      <w:r>
        <w:rPr>
          <w:rFonts w:hint="default" w:ascii="Times New Roman" w:hAnsi="Times New Roman" w:eastAsia="仿宋_GB2312" w:cs="Times New Roman"/>
          <w:color w:val="000000"/>
          <w:kern w:val="32"/>
          <w:sz w:val="32"/>
          <w:szCs w:val="32"/>
          <w:lang w:val="en-US" w:eastAsia="zh-CN" w:bidi="ar"/>
        </w:rPr>
        <w:t>本年报中所列数据的统计期限自202</w:t>
      </w:r>
      <w:r>
        <w:rPr>
          <w:rFonts w:hint="eastAsia" w:ascii="Times New Roman" w:hAnsi="Times New Roman" w:eastAsia="仿宋_GB2312" w:cs="Times New Roman"/>
          <w:color w:val="000000"/>
          <w:kern w:val="32"/>
          <w:sz w:val="32"/>
          <w:szCs w:val="32"/>
          <w:lang w:val="en-US" w:eastAsia="zh-CN" w:bidi="ar"/>
        </w:rPr>
        <w:t>4</w:t>
      </w:r>
      <w:r>
        <w:rPr>
          <w:rFonts w:hint="default" w:ascii="Times New Roman" w:hAnsi="Times New Roman" w:eastAsia="仿宋_GB2312" w:cs="Times New Roman"/>
          <w:color w:val="000000"/>
          <w:kern w:val="32"/>
          <w:sz w:val="32"/>
          <w:szCs w:val="32"/>
          <w:lang w:val="en-US" w:eastAsia="zh-CN" w:bidi="ar"/>
        </w:rPr>
        <w:t>年1月1日起至202</w:t>
      </w:r>
      <w:r>
        <w:rPr>
          <w:rFonts w:hint="eastAsia" w:ascii="Times New Roman" w:hAnsi="Times New Roman" w:eastAsia="仿宋_GB2312" w:cs="Times New Roman"/>
          <w:color w:val="000000"/>
          <w:kern w:val="32"/>
          <w:sz w:val="32"/>
          <w:szCs w:val="32"/>
          <w:lang w:val="en-US" w:eastAsia="zh-CN" w:bidi="ar"/>
        </w:rPr>
        <w:t>4</w:t>
      </w:r>
      <w:r>
        <w:rPr>
          <w:rFonts w:hint="default" w:ascii="Times New Roman" w:hAnsi="Times New Roman" w:eastAsia="仿宋_GB2312" w:cs="Times New Roman"/>
          <w:color w:val="000000"/>
          <w:kern w:val="32"/>
          <w:sz w:val="32"/>
          <w:szCs w:val="32"/>
          <w:lang w:val="en-US" w:eastAsia="zh-CN" w:bidi="ar"/>
        </w:rPr>
        <w:t>年12月31日止。如对本报告有疑问，请与康美镇党政</w:t>
      </w:r>
      <w:r>
        <w:rPr>
          <w:rFonts w:hint="eastAsia" w:ascii="Times New Roman" w:hAnsi="Times New Roman" w:eastAsia="仿宋_GB2312" w:cs="Times New Roman"/>
          <w:color w:val="000000"/>
          <w:kern w:val="32"/>
          <w:sz w:val="32"/>
          <w:szCs w:val="32"/>
          <w:lang w:val="en-US" w:eastAsia="zh-CN" w:bidi="ar"/>
        </w:rPr>
        <w:t>综合</w:t>
      </w:r>
      <w:r>
        <w:rPr>
          <w:rFonts w:hint="default" w:ascii="Times New Roman" w:hAnsi="Times New Roman" w:eastAsia="仿宋_GB2312" w:cs="Times New Roman"/>
          <w:color w:val="000000"/>
          <w:kern w:val="32"/>
          <w:sz w:val="32"/>
          <w:szCs w:val="32"/>
          <w:lang w:val="en-US" w:eastAsia="zh-CN" w:bidi="ar"/>
        </w:rPr>
        <w:t>办公室联系（联系地址：康美镇康元路168号，邮编：362332，联系电话：0595-86653201，电子邮箱：</w:t>
      </w:r>
      <w:r>
        <w:rPr>
          <w:rFonts w:hint="default" w:ascii="Times New Roman" w:hAnsi="Times New Roman" w:eastAsia="仿宋_GB2312" w:cs="Times New Roman"/>
          <w:color w:val="000000"/>
          <w:kern w:val="32"/>
          <w:sz w:val="32"/>
          <w:szCs w:val="32"/>
          <w:lang w:val="en-US" w:eastAsia="zh-CN" w:bidi="ar"/>
        </w:rPr>
        <w:fldChar w:fldCharType="begin"/>
      </w:r>
      <w:r>
        <w:rPr>
          <w:rFonts w:hint="default" w:ascii="Times New Roman" w:hAnsi="Times New Roman" w:eastAsia="仿宋_GB2312" w:cs="Times New Roman"/>
          <w:color w:val="000000"/>
          <w:kern w:val="32"/>
          <w:sz w:val="32"/>
          <w:szCs w:val="32"/>
          <w:lang w:val="en-US" w:eastAsia="zh-CN" w:bidi="ar"/>
        </w:rPr>
        <w:instrText xml:space="preserve"> HYPERLINK "mailto:luncang2007@126.com" </w:instrText>
      </w:r>
      <w:r>
        <w:rPr>
          <w:rFonts w:hint="default" w:ascii="Times New Roman" w:hAnsi="Times New Roman" w:eastAsia="仿宋_GB2312" w:cs="Times New Roman"/>
          <w:color w:val="000000"/>
          <w:kern w:val="32"/>
          <w:sz w:val="32"/>
          <w:szCs w:val="32"/>
          <w:lang w:val="en-US" w:eastAsia="zh-CN" w:bidi="ar"/>
        </w:rPr>
        <w:fldChar w:fldCharType="separate"/>
      </w:r>
      <w:r>
        <w:rPr>
          <w:rFonts w:hint="default" w:ascii="Times New Roman" w:hAnsi="Times New Roman" w:eastAsia="仿宋_GB2312" w:cs="Times New Roman"/>
          <w:color w:val="000000"/>
          <w:kern w:val="32"/>
          <w:sz w:val="32"/>
          <w:szCs w:val="32"/>
          <w:lang w:val="en-US" w:eastAsia="zh-CN" w:bidi="ar"/>
        </w:rPr>
        <w:t>kmdzb2016@163.com</w:t>
      </w:r>
      <w:r>
        <w:rPr>
          <w:rFonts w:hint="default" w:ascii="Times New Roman" w:hAnsi="Times New Roman" w:eastAsia="仿宋_GB2312" w:cs="Times New Roman"/>
          <w:color w:val="000000"/>
          <w:kern w:val="32"/>
          <w:sz w:val="32"/>
          <w:szCs w:val="32"/>
          <w:lang w:val="en-US" w:eastAsia="zh-CN" w:bidi="ar"/>
        </w:rPr>
        <w:fldChar w:fldCharType="end"/>
      </w:r>
      <w:r>
        <w:rPr>
          <w:rFonts w:hint="default" w:ascii="Times New Roman" w:hAnsi="Times New Roman" w:eastAsia="仿宋_GB2312" w:cs="Times New Roman"/>
          <w:color w:val="000000"/>
          <w:kern w:val="32"/>
          <w:sz w:val="32"/>
          <w:szCs w:val="32"/>
          <w:lang w:val="en-US" w:eastAsia="zh-CN" w:bidi="ar"/>
        </w:rPr>
        <w:t>）</w:t>
      </w:r>
    </w:p>
    <w:p w14:paraId="6B9D5967">
      <w:pPr>
        <w:pStyle w:val="7"/>
        <w:keepNext w:val="0"/>
        <w:keepLines w:val="0"/>
        <w:pageBreakBefore w:val="0"/>
        <w:numPr>
          <w:ilvl w:val="0"/>
          <w:numId w:val="1"/>
        </w:numPr>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Times New Roman"/>
          <w:bCs/>
          <w:color w:val="000000"/>
          <w:sz w:val="32"/>
          <w:szCs w:val="32"/>
        </w:rPr>
      </w:pPr>
      <w:r>
        <w:rPr>
          <w:rFonts w:hint="eastAsia" w:ascii="黑体" w:hAnsi="黑体" w:eastAsia="黑体" w:cs="Times New Roman"/>
          <w:bCs/>
          <w:color w:val="000000"/>
          <w:sz w:val="32"/>
          <w:szCs w:val="32"/>
        </w:rPr>
        <w:t>总体情况</w:t>
      </w:r>
    </w:p>
    <w:p w14:paraId="155A02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color w:val="000000"/>
          <w:kern w:val="32"/>
          <w:sz w:val="32"/>
          <w:szCs w:val="32"/>
          <w:lang w:val="en-US" w:eastAsia="zh-CN" w:bidi="ar"/>
        </w:rPr>
      </w:pPr>
      <w:r>
        <w:rPr>
          <w:rFonts w:hint="eastAsia" w:ascii="Times New Roman" w:hAnsi="Times New Roman" w:eastAsia="仿宋_GB2312" w:cs="Times New Roman"/>
          <w:color w:val="000000"/>
          <w:kern w:val="32"/>
          <w:sz w:val="32"/>
          <w:szCs w:val="32"/>
          <w:lang w:val="en-US" w:eastAsia="zh-CN" w:bidi="ar"/>
        </w:rPr>
        <w:t>2024年，我镇全面贯彻落实《中华人民共和国政府信息公开条例》文件要求，加强组织领导，健全工作机制，结合工作实际，围绕基层治理，服务大局，突出乡村振兴、项目建设、环境保护等工作，规范政务公开内容，提高政务公开水平，不断深化提升政府信息公开工作。</w:t>
      </w:r>
    </w:p>
    <w:p w14:paraId="22FBD3A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方正楷体_GBK" w:hAnsi="方正楷体_GBK" w:eastAsia="方正楷体_GBK" w:cs="方正楷体_GBK"/>
          <w:b/>
          <w:bCs/>
          <w:color w:val="000000"/>
          <w:kern w:val="32"/>
          <w:sz w:val="32"/>
          <w:szCs w:val="32"/>
          <w:lang w:val="en-US" w:eastAsia="zh-CN" w:bidi="ar"/>
        </w:rPr>
      </w:pPr>
      <w:r>
        <w:rPr>
          <w:rFonts w:hint="eastAsia" w:ascii="方正楷体_GBK" w:hAnsi="方正楷体_GBK" w:eastAsia="方正楷体_GBK" w:cs="方正楷体_GBK"/>
          <w:b/>
          <w:bCs/>
          <w:color w:val="000000"/>
          <w:kern w:val="32"/>
          <w:sz w:val="32"/>
          <w:szCs w:val="32"/>
          <w:lang w:val="en-US" w:eastAsia="zh-CN" w:bidi="ar"/>
        </w:rPr>
        <w:t>（一）主动公开情况</w:t>
      </w:r>
    </w:p>
    <w:p w14:paraId="32B9BE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32"/>
          <w:sz w:val="32"/>
          <w:szCs w:val="32"/>
          <w:highlight w:val="none"/>
          <w:lang w:val="en-US" w:eastAsia="zh-CN" w:bidi="ar"/>
        </w:rPr>
      </w:pPr>
      <w:r>
        <w:rPr>
          <w:rFonts w:hint="eastAsia" w:ascii="Times New Roman" w:hAnsi="Times New Roman" w:eastAsia="仿宋_GB2312" w:cs="Times New Roman"/>
          <w:color w:val="000000"/>
          <w:kern w:val="32"/>
          <w:sz w:val="32"/>
          <w:szCs w:val="32"/>
          <w:highlight w:val="none"/>
          <w:lang w:val="en-US" w:eastAsia="zh-CN" w:bidi="ar"/>
        </w:rPr>
        <w:t>2024年，全镇主动公开政府信息22条，</w:t>
      </w:r>
      <w:r>
        <w:rPr>
          <w:rFonts w:hint="default" w:ascii="Times New Roman" w:hAnsi="Times New Roman" w:eastAsia="仿宋_GB2312" w:cs="Times New Roman"/>
          <w:color w:val="000000"/>
          <w:kern w:val="32"/>
          <w:sz w:val="32"/>
          <w:szCs w:val="32"/>
          <w:highlight w:val="none"/>
          <w:lang w:val="en-US" w:eastAsia="zh-CN" w:bidi="ar"/>
        </w:rPr>
        <w:t>电子化率100</w:t>
      </w:r>
      <w:r>
        <w:rPr>
          <w:rFonts w:hint="eastAsia" w:ascii="Times New Roman" w:hAnsi="Times New Roman" w:eastAsia="仿宋_GB2312" w:cs="Times New Roman"/>
          <w:color w:val="000000"/>
          <w:kern w:val="32"/>
          <w:sz w:val="32"/>
          <w:szCs w:val="32"/>
          <w:highlight w:val="none"/>
          <w:lang w:val="en-US" w:eastAsia="zh-CN" w:bidi="ar"/>
        </w:rPr>
        <w:t>%</w:t>
      </w:r>
      <w:r>
        <w:rPr>
          <w:rFonts w:hint="default" w:ascii="Times New Roman" w:hAnsi="Times New Roman" w:eastAsia="仿宋_GB2312" w:cs="Times New Roman"/>
          <w:color w:val="000000"/>
          <w:kern w:val="32"/>
          <w:sz w:val="32"/>
          <w:szCs w:val="32"/>
          <w:highlight w:val="none"/>
          <w:lang w:val="en-US" w:eastAsia="zh-CN" w:bidi="ar"/>
        </w:rPr>
        <w:t>，其中：为民办实事类信息</w:t>
      </w:r>
      <w:r>
        <w:rPr>
          <w:rFonts w:hint="eastAsia" w:ascii="Times New Roman" w:hAnsi="Times New Roman" w:eastAsia="仿宋_GB2312" w:cs="Times New Roman"/>
          <w:color w:val="000000"/>
          <w:kern w:val="32"/>
          <w:sz w:val="32"/>
          <w:szCs w:val="32"/>
          <w:highlight w:val="none"/>
          <w:lang w:val="en-US" w:eastAsia="zh-CN" w:bidi="ar"/>
        </w:rPr>
        <w:t>共1条，占4.5%；国土资源城乡建设环保能源类信息</w:t>
      </w:r>
      <w:r>
        <w:rPr>
          <w:rFonts w:hint="default" w:ascii="Times New Roman" w:hAnsi="Times New Roman" w:eastAsia="仿宋_GB2312" w:cs="Times New Roman"/>
          <w:color w:val="000000"/>
          <w:kern w:val="32"/>
          <w:sz w:val="32"/>
          <w:szCs w:val="32"/>
          <w:highlight w:val="none"/>
          <w:lang w:val="en-US" w:eastAsia="zh-CN" w:bidi="ar"/>
        </w:rPr>
        <w:t>共</w:t>
      </w:r>
      <w:r>
        <w:rPr>
          <w:rFonts w:hint="eastAsia" w:ascii="Times New Roman" w:hAnsi="Times New Roman" w:eastAsia="仿宋_GB2312" w:cs="Times New Roman"/>
          <w:color w:val="000000"/>
          <w:kern w:val="32"/>
          <w:sz w:val="32"/>
          <w:szCs w:val="32"/>
          <w:highlight w:val="none"/>
          <w:lang w:val="en-US" w:eastAsia="zh-CN" w:bidi="ar"/>
        </w:rPr>
        <w:t>1</w:t>
      </w:r>
      <w:r>
        <w:rPr>
          <w:rFonts w:hint="default" w:ascii="Times New Roman" w:hAnsi="Times New Roman" w:eastAsia="仿宋_GB2312" w:cs="Times New Roman"/>
          <w:color w:val="000000"/>
          <w:kern w:val="32"/>
          <w:sz w:val="32"/>
          <w:szCs w:val="32"/>
          <w:highlight w:val="none"/>
          <w:lang w:val="en-US" w:eastAsia="zh-CN" w:bidi="ar"/>
        </w:rPr>
        <w:t>条，占</w:t>
      </w:r>
      <w:r>
        <w:rPr>
          <w:rFonts w:hint="eastAsia" w:ascii="Times New Roman" w:hAnsi="Times New Roman" w:eastAsia="仿宋_GB2312" w:cs="Times New Roman"/>
          <w:color w:val="000000"/>
          <w:kern w:val="32"/>
          <w:sz w:val="32"/>
          <w:szCs w:val="32"/>
          <w:highlight w:val="none"/>
          <w:lang w:val="en-US" w:eastAsia="zh-CN" w:bidi="ar"/>
        </w:rPr>
        <w:t>4.5%；</w:t>
      </w:r>
      <w:r>
        <w:rPr>
          <w:rFonts w:hint="default" w:ascii="Times New Roman" w:hAnsi="Times New Roman" w:eastAsia="仿宋_GB2312" w:cs="Times New Roman"/>
          <w:color w:val="000000"/>
          <w:kern w:val="32"/>
          <w:sz w:val="32"/>
          <w:szCs w:val="32"/>
          <w:highlight w:val="none"/>
          <w:lang w:val="en-US" w:eastAsia="zh-CN" w:bidi="ar"/>
        </w:rPr>
        <w:t>科教文体卫生类信息共</w:t>
      </w:r>
      <w:r>
        <w:rPr>
          <w:rFonts w:hint="eastAsia" w:ascii="Times New Roman" w:hAnsi="Times New Roman" w:eastAsia="仿宋_GB2312" w:cs="Times New Roman"/>
          <w:color w:val="000000"/>
          <w:kern w:val="32"/>
          <w:sz w:val="32"/>
          <w:szCs w:val="32"/>
          <w:highlight w:val="none"/>
          <w:lang w:val="en-US" w:eastAsia="zh-CN" w:bidi="ar"/>
        </w:rPr>
        <w:t>12</w:t>
      </w:r>
      <w:r>
        <w:rPr>
          <w:rFonts w:hint="default" w:ascii="Times New Roman" w:hAnsi="Times New Roman" w:eastAsia="仿宋_GB2312" w:cs="Times New Roman"/>
          <w:color w:val="000000"/>
          <w:kern w:val="32"/>
          <w:sz w:val="32"/>
          <w:szCs w:val="32"/>
          <w:highlight w:val="none"/>
          <w:lang w:val="en-US" w:eastAsia="zh-CN" w:bidi="ar"/>
        </w:rPr>
        <w:t>条，占</w:t>
      </w:r>
      <w:r>
        <w:rPr>
          <w:rFonts w:hint="eastAsia" w:ascii="Times New Roman" w:hAnsi="Times New Roman" w:eastAsia="仿宋_GB2312" w:cs="Times New Roman"/>
          <w:color w:val="000000"/>
          <w:kern w:val="32"/>
          <w:sz w:val="32"/>
          <w:szCs w:val="32"/>
          <w:highlight w:val="none"/>
          <w:lang w:val="en-US" w:eastAsia="zh-CN" w:bidi="ar"/>
        </w:rPr>
        <w:t>54.5%；安全生产、应急管理类信息</w:t>
      </w:r>
      <w:r>
        <w:rPr>
          <w:rFonts w:hint="default" w:ascii="Times New Roman" w:hAnsi="Times New Roman" w:eastAsia="仿宋_GB2312" w:cs="Times New Roman"/>
          <w:color w:val="000000"/>
          <w:kern w:val="32"/>
          <w:sz w:val="32"/>
          <w:szCs w:val="32"/>
          <w:highlight w:val="none"/>
          <w:lang w:val="en-US" w:eastAsia="zh-CN" w:bidi="ar"/>
        </w:rPr>
        <w:t>共</w:t>
      </w:r>
      <w:r>
        <w:rPr>
          <w:rFonts w:hint="eastAsia" w:ascii="Times New Roman" w:hAnsi="Times New Roman" w:eastAsia="仿宋_GB2312" w:cs="Times New Roman"/>
          <w:color w:val="000000"/>
          <w:kern w:val="32"/>
          <w:sz w:val="32"/>
          <w:szCs w:val="32"/>
          <w:highlight w:val="none"/>
          <w:lang w:val="en-US" w:eastAsia="zh-CN" w:bidi="ar"/>
        </w:rPr>
        <w:t>1</w:t>
      </w:r>
      <w:r>
        <w:rPr>
          <w:rFonts w:hint="default" w:ascii="Times New Roman" w:hAnsi="Times New Roman" w:eastAsia="仿宋_GB2312" w:cs="Times New Roman"/>
          <w:color w:val="000000"/>
          <w:kern w:val="32"/>
          <w:sz w:val="32"/>
          <w:szCs w:val="32"/>
          <w:highlight w:val="none"/>
          <w:lang w:val="en-US" w:eastAsia="zh-CN" w:bidi="ar"/>
        </w:rPr>
        <w:t>条，占</w:t>
      </w:r>
      <w:r>
        <w:rPr>
          <w:rFonts w:hint="eastAsia" w:ascii="Times New Roman" w:hAnsi="Times New Roman" w:eastAsia="仿宋_GB2312" w:cs="Times New Roman"/>
          <w:color w:val="000000"/>
          <w:kern w:val="32"/>
          <w:sz w:val="32"/>
          <w:szCs w:val="32"/>
          <w:highlight w:val="none"/>
          <w:lang w:val="en-US" w:eastAsia="zh-CN" w:bidi="ar"/>
        </w:rPr>
        <w:t>4.5%；其他类信息共7条，占32%</w:t>
      </w:r>
      <w:r>
        <w:rPr>
          <w:rFonts w:hint="default" w:ascii="Times New Roman" w:hAnsi="Times New Roman" w:eastAsia="仿宋_GB2312" w:cs="Times New Roman"/>
          <w:color w:val="000000"/>
          <w:kern w:val="32"/>
          <w:sz w:val="32"/>
          <w:szCs w:val="32"/>
          <w:highlight w:val="none"/>
          <w:lang w:val="en-US" w:eastAsia="zh-CN" w:bidi="ar"/>
        </w:rPr>
        <w:t>。</w:t>
      </w:r>
    </w:p>
    <w:p w14:paraId="145B8E1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方正楷体_GBK" w:hAnsi="方正楷体_GBK" w:eastAsia="方正楷体_GBK" w:cs="方正楷体_GBK"/>
          <w:b/>
          <w:bCs/>
          <w:color w:val="000000"/>
          <w:kern w:val="32"/>
          <w:sz w:val="32"/>
          <w:szCs w:val="32"/>
          <w:lang w:val="en-US" w:eastAsia="zh-CN" w:bidi="ar"/>
        </w:rPr>
      </w:pPr>
      <w:r>
        <w:rPr>
          <w:rFonts w:hint="eastAsia" w:ascii="方正楷体_GBK" w:hAnsi="方正楷体_GBK" w:eastAsia="方正楷体_GBK" w:cs="方正楷体_GBK"/>
          <w:b/>
          <w:bCs/>
          <w:color w:val="000000"/>
          <w:kern w:val="32"/>
          <w:sz w:val="32"/>
          <w:szCs w:val="32"/>
          <w:lang w:val="en-US" w:eastAsia="zh-CN" w:bidi="ar"/>
        </w:rPr>
        <w:t>（二）</w:t>
      </w:r>
      <w:r>
        <w:rPr>
          <w:rFonts w:hint="default" w:ascii="方正楷体_GBK" w:hAnsi="方正楷体_GBK" w:eastAsia="方正楷体_GBK" w:cs="方正楷体_GBK"/>
          <w:b/>
          <w:bCs/>
          <w:color w:val="000000"/>
          <w:kern w:val="32"/>
          <w:sz w:val="32"/>
          <w:szCs w:val="32"/>
          <w:lang w:val="en-US" w:eastAsia="zh-CN" w:bidi="ar"/>
        </w:rPr>
        <w:t>依</w:t>
      </w:r>
      <w:r>
        <w:rPr>
          <w:rFonts w:hint="eastAsia" w:ascii="方正楷体_GBK" w:hAnsi="方正楷体_GBK" w:eastAsia="方正楷体_GBK" w:cs="方正楷体_GBK"/>
          <w:b/>
          <w:bCs/>
          <w:color w:val="000000"/>
          <w:kern w:val="32"/>
          <w:sz w:val="32"/>
          <w:szCs w:val="32"/>
          <w:lang w:val="en-US" w:eastAsia="zh-CN" w:bidi="ar"/>
        </w:rPr>
        <w:t>申</w:t>
      </w:r>
      <w:r>
        <w:rPr>
          <w:rFonts w:hint="default" w:ascii="方正楷体_GBK" w:hAnsi="方正楷体_GBK" w:eastAsia="方正楷体_GBK" w:cs="方正楷体_GBK"/>
          <w:b/>
          <w:bCs/>
          <w:color w:val="000000"/>
          <w:kern w:val="32"/>
          <w:sz w:val="32"/>
          <w:szCs w:val="32"/>
          <w:lang w:val="en-US" w:eastAsia="zh-CN" w:bidi="ar"/>
        </w:rPr>
        <w:t>请公开情况</w:t>
      </w:r>
    </w:p>
    <w:p w14:paraId="7651EE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32"/>
          <w:sz w:val="32"/>
          <w:szCs w:val="32"/>
          <w:highlight w:val="none"/>
          <w:lang w:val="en-US" w:eastAsia="zh-CN" w:bidi="ar"/>
        </w:rPr>
      </w:pPr>
      <w:r>
        <w:rPr>
          <w:rFonts w:hint="eastAsia" w:ascii="Times New Roman" w:hAnsi="Times New Roman" w:eastAsia="仿宋_GB2312" w:cs="Times New Roman"/>
          <w:color w:val="000000"/>
          <w:kern w:val="32"/>
          <w:sz w:val="32"/>
          <w:szCs w:val="32"/>
          <w:lang w:val="en-US" w:eastAsia="zh-CN" w:bidi="ar"/>
        </w:rPr>
        <w:t>2024年</w:t>
      </w:r>
      <w:r>
        <w:rPr>
          <w:rFonts w:hint="eastAsia" w:ascii="Times New Roman" w:hAnsi="Times New Roman" w:eastAsia="仿宋_GB2312" w:cs="Times New Roman"/>
          <w:color w:val="000000"/>
          <w:kern w:val="32"/>
          <w:sz w:val="32"/>
          <w:szCs w:val="32"/>
          <w:highlight w:val="none"/>
          <w:lang w:val="en-US" w:eastAsia="zh-CN" w:bidi="ar"/>
        </w:rPr>
        <w:t>我镇未收到申请公开政府信息的要求</w:t>
      </w:r>
      <w:r>
        <w:rPr>
          <w:rFonts w:hint="default" w:ascii="Times New Roman" w:hAnsi="Times New Roman" w:eastAsia="仿宋_GB2312" w:cs="Times New Roman"/>
          <w:color w:val="000000"/>
          <w:kern w:val="32"/>
          <w:sz w:val="32"/>
          <w:szCs w:val="32"/>
          <w:highlight w:val="none"/>
          <w:lang w:val="en-US" w:eastAsia="zh-CN" w:bidi="ar"/>
        </w:rPr>
        <w:t>。</w:t>
      </w:r>
    </w:p>
    <w:p w14:paraId="48FD88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方正楷体_GBK" w:hAnsi="方正楷体_GBK" w:eastAsia="方正楷体_GBK" w:cs="方正楷体_GBK"/>
          <w:b/>
          <w:bCs/>
          <w:color w:val="000000"/>
          <w:kern w:val="32"/>
          <w:sz w:val="32"/>
          <w:szCs w:val="32"/>
          <w:lang w:val="en-US" w:eastAsia="zh-CN" w:bidi="ar"/>
        </w:rPr>
      </w:pPr>
      <w:r>
        <w:rPr>
          <w:rFonts w:hint="eastAsia" w:ascii="方正楷体_GBK" w:hAnsi="方正楷体_GBK" w:eastAsia="方正楷体_GBK" w:cs="方正楷体_GBK"/>
          <w:b/>
          <w:bCs/>
          <w:color w:val="000000"/>
          <w:kern w:val="32"/>
          <w:sz w:val="32"/>
          <w:szCs w:val="32"/>
          <w:lang w:val="en-US" w:eastAsia="zh-CN" w:bidi="ar"/>
        </w:rPr>
        <w:t>（三）</w:t>
      </w:r>
      <w:r>
        <w:rPr>
          <w:rFonts w:hint="default" w:ascii="方正楷体_GBK" w:hAnsi="方正楷体_GBK" w:eastAsia="方正楷体_GBK" w:cs="方正楷体_GBK"/>
          <w:b/>
          <w:bCs/>
          <w:color w:val="000000"/>
          <w:kern w:val="32"/>
          <w:sz w:val="32"/>
          <w:szCs w:val="32"/>
          <w:lang w:val="en-US" w:eastAsia="zh-CN" w:bidi="ar"/>
        </w:rPr>
        <w:t>政府信息管理情况</w:t>
      </w:r>
    </w:p>
    <w:p w14:paraId="53392E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32"/>
          <w:sz w:val="32"/>
          <w:szCs w:val="32"/>
          <w:highlight w:val="none"/>
          <w:lang w:val="en-US" w:eastAsia="zh-CN" w:bidi="ar"/>
        </w:rPr>
      </w:pPr>
      <w:r>
        <w:rPr>
          <w:rFonts w:hint="eastAsia" w:ascii="Times New Roman" w:hAnsi="Times New Roman" w:eastAsia="仿宋_GB2312" w:cs="Times New Roman"/>
          <w:color w:val="000000"/>
          <w:kern w:val="32"/>
          <w:sz w:val="32"/>
          <w:szCs w:val="32"/>
          <w:lang w:val="en-US" w:eastAsia="zh-CN" w:bidi="ar"/>
        </w:rPr>
        <w:t>加强组织领导，强化工作落实，由党政综合办公室负责政府信息公开日常工作，严格落实信息发布“三审”制度，按照“谁审查、谁负责，谁发布、谁负责，先审查、后发布”相关要求，完善信息审核发布机制，规范工作流程，确保公开信息全面、准确、及时。在推进政府信息公开工作向纵深发展过程中积极与其他部门协调配合，形成横向协作、纵向联动的工作机制，结合街道中心工作、重点工作、群众关心的热点问题，拓宽群众知晓、参与、监督政府信息工作渠道。</w:t>
      </w:r>
      <w:r>
        <w:rPr>
          <w:rFonts w:hint="default" w:ascii="Times New Roman" w:hAnsi="Times New Roman" w:eastAsia="仿宋_GB2312" w:cs="Times New Roman"/>
          <w:color w:val="000000"/>
          <w:kern w:val="32"/>
          <w:sz w:val="32"/>
          <w:szCs w:val="32"/>
          <w:highlight w:val="none"/>
          <w:lang w:val="en-US" w:eastAsia="zh-CN" w:bidi="ar"/>
        </w:rPr>
        <w:t>主动公开</w:t>
      </w:r>
      <w:r>
        <w:rPr>
          <w:rFonts w:hint="eastAsia" w:ascii="Times New Roman" w:hAnsi="Times New Roman" w:eastAsia="仿宋_GB2312" w:cs="Times New Roman"/>
          <w:color w:val="000000"/>
          <w:kern w:val="32"/>
          <w:sz w:val="32"/>
          <w:szCs w:val="32"/>
          <w:highlight w:val="none"/>
          <w:lang w:val="en-US" w:eastAsia="zh-CN" w:bidi="ar"/>
        </w:rPr>
        <w:t>的</w:t>
      </w:r>
      <w:r>
        <w:rPr>
          <w:rFonts w:hint="default" w:ascii="Times New Roman" w:hAnsi="Times New Roman" w:eastAsia="仿宋_GB2312" w:cs="Times New Roman"/>
          <w:color w:val="000000"/>
          <w:kern w:val="32"/>
          <w:sz w:val="32"/>
          <w:szCs w:val="32"/>
          <w:highlight w:val="none"/>
          <w:lang w:val="en-US" w:eastAsia="zh-CN" w:bidi="ar"/>
        </w:rPr>
        <w:t>政府信息</w:t>
      </w:r>
      <w:r>
        <w:rPr>
          <w:rFonts w:hint="eastAsia" w:ascii="Times New Roman" w:hAnsi="Times New Roman" w:eastAsia="仿宋_GB2312" w:cs="Times New Roman"/>
          <w:color w:val="000000"/>
          <w:kern w:val="32"/>
          <w:sz w:val="32"/>
          <w:szCs w:val="32"/>
          <w:highlight w:val="none"/>
          <w:lang w:val="en-US" w:eastAsia="zh-CN" w:bidi="ar"/>
        </w:rPr>
        <w:t>及时</w:t>
      </w:r>
      <w:r>
        <w:rPr>
          <w:rFonts w:hint="default" w:ascii="Times New Roman" w:hAnsi="Times New Roman" w:eastAsia="仿宋_GB2312" w:cs="Times New Roman"/>
          <w:color w:val="000000"/>
          <w:kern w:val="32"/>
          <w:sz w:val="32"/>
          <w:szCs w:val="32"/>
          <w:highlight w:val="none"/>
          <w:lang w:val="en-US" w:eastAsia="zh-CN" w:bidi="ar"/>
        </w:rPr>
        <w:t>送交市“两馆”</w:t>
      </w:r>
      <w:r>
        <w:rPr>
          <w:rFonts w:hint="eastAsia" w:ascii="Times New Roman" w:hAnsi="Times New Roman" w:eastAsia="仿宋_GB2312" w:cs="Times New Roman"/>
          <w:color w:val="000000"/>
          <w:kern w:val="32"/>
          <w:sz w:val="32"/>
          <w:szCs w:val="32"/>
          <w:highlight w:val="none"/>
          <w:lang w:val="en-US" w:eastAsia="zh-CN" w:bidi="ar"/>
        </w:rPr>
        <w:t>，</w:t>
      </w:r>
      <w:r>
        <w:rPr>
          <w:rFonts w:hint="default" w:ascii="Times New Roman" w:hAnsi="Times New Roman" w:eastAsia="仿宋_GB2312" w:cs="Times New Roman"/>
          <w:color w:val="000000"/>
          <w:kern w:val="32"/>
          <w:sz w:val="32"/>
          <w:szCs w:val="32"/>
          <w:highlight w:val="none"/>
          <w:lang w:val="en-US" w:eastAsia="zh-CN" w:bidi="ar"/>
        </w:rPr>
        <w:t>全</w:t>
      </w:r>
      <w:r>
        <w:rPr>
          <w:rFonts w:hint="eastAsia" w:ascii="Times New Roman" w:hAnsi="Times New Roman" w:eastAsia="仿宋_GB2312" w:cs="Times New Roman"/>
          <w:color w:val="000000"/>
          <w:kern w:val="32"/>
          <w:sz w:val="32"/>
          <w:szCs w:val="32"/>
          <w:highlight w:val="none"/>
          <w:lang w:val="en-US" w:eastAsia="zh-CN" w:bidi="ar"/>
        </w:rPr>
        <w:t>镇</w:t>
      </w:r>
      <w:r>
        <w:rPr>
          <w:rFonts w:hint="default" w:ascii="Times New Roman" w:hAnsi="Times New Roman" w:eastAsia="仿宋_GB2312" w:cs="Times New Roman"/>
          <w:color w:val="000000"/>
          <w:kern w:val="32"/>
          <w:sz w:val="32"/>
          <w:szCs w:val="32"/>
          <w:highlight w:val="none"/>
          <w:lang w:val="en-US" w:eastAsia="zh-CN" w:bidi="ar"/>
        </w:rPr>
        <w:t>全年主动公开</w:t>
      </w:r>
      <w:r>
        <w:rPr>
          <w:rFonts w:hint="eastAsia" w:ascii="Times New Roman" w:hAnsi="Times New Roman" w:eastAsia="仿宋_GB2312" w:cs="Times New Roman"/>
          <w:color w:val="000000"/>
          <w:kern w:val="32"/>
          <w:sz w:val="32"/>
          <w:szCs w:val="32"/>
          <w:highlight w:val="none"/>
          <w:lang w:val="en-US" w:eastAsia="zh-CN" w:bidi="ar"/>
        </w:rPr>
        <w:t>政府</w:t>
      </w:r>
      <w:r>
        <w:rPr>
          <w:rFonts w:hint="default" w:ascii="Times New Roman" w:hAnsi="Times New Roman" w:eastAsia="仿宋_GB2312" w:cs="Times New Roman"/>
          <w:color w:val="000000"/>
          <w:kern w:val="32"/>
          <w:sz w:val="32"/>
          <w:szCs w:val="32"/>
          <w:highlight w:val="none"/>
          <w:lang w:val="en-US" w:eastAsia="zh-CN" w:bidi="ar"/>
        </w:rPr>
        <w:t>信息送交市“两馆”共</w:t>
      </w:r>
      <w:r>
        <w:rPr>
          <w:rFonts w:hint="eastAsia" w:ascii="Times New Roman" w:hAnsi="Times New Roman" w:eastAsia="仿宋_GB2312" w:cs="Times New Roman"/>
          <w:color w:val="000000"/>
          <w:kern w:val="32"/>
          <w:sz w:val="32"/>
          <w:szCs w:val="32"/>
          <w:highlight w:val="none"/>
          <w:lang w:val="en-US" w:eastAsia="zh-CN" w:bidi="ar"/>
        </w:rPr>
        <w:t>22</w:t>
      </w:r>
      <w:r>
        <w:rPr>
          <w:rFonts w:hint="default" w:ascii="Times New Roman" w:hAnsi="Times New Roman" w:eastAsia="仿宋_GB2312" w:cs="Times New Roman"/>
          <w:color w:val="000000"/>
          <w:kern w:val="32"/>
          <w:sz w:val="32"/>
          <w:szCs w:val="32"/>
          <w:highlight w:val="none"/>
          <w:lang w:val="en-US" w:eastAsia="zh-CN" w:bidi="ar"/>
        </w:rPr>
        <w:t>份，送交率100</w:t>
      </w:r>
      <w:r>
        <w:rPr>
          <w:rFonts w:hint="eastAsia" w:ascii="Times New Roman" w:hAnsi="Times New Roman" w:eastAsia="仿宋_GB2312" w:cs="Times New Roman"/>
          <w:color w:val="000000"/>
          <w:kern w:val="32"/>
          <w:sz w:val="32"/>
          <w:szCs w:val="32"/>
          <w:highlight w:val="none"/>
          <w:lang w:val="en-US" w:eastAsia="zh-CN" w:bidi="ar"/>
        </w:rPr>
        <w:t>%</w:t>
      </w:r>
      <w:r>
        <w:rPr>
          <w:rFonts w:hint="default" w:ascii="Times New Roman" w:hAnsi="Times New Roman" w:eastAsia="仿宋_GB2312" w:cs="Times New Roman"/>
          <w:color w:val="000000"/>
          <w:kern w:val="32"/>
          <w:sz w:val="32"/>
          <w:szCs w:val="32"/>
          <w:highlight w:val="none"/>
          <w:lang w:val="en-US" w:eastAsia="zh-CN" w:bidi="ar"/>
        </w:rPr>
        <w:t>。</w:t>
      </w:r>
    </w:p>
    <w:p w14:paraId="30CD5B7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方正楷体_GBK" w:hAnsi="方正楷体_GBK" w:eastAsia="方正楷体_GBK" w:cs="方正楷体_GBK"/>
          <w:b/>
          <w:bCs/>
          <w:color w:val="000000"/>
          <w:kern w:val="32"/>
          <w:sz w:val="32"/>
          <w:szCs w:val="32"/>
          <w:lang w:val="en-US" w:eastAsia="zh-CN" w:bidi="ar"/>
        </w:rPr>
      </w:pPr>
      <w:r>
        <w:rPr>
          <w:rFonts w:hint="eastAsia" w:ascii="方正楷体_GBK" w:hAnsi="方正楷体_GBK" w:eastAsia="方正楷体_GBK" w:cs="方正楷体_GBK"/>
          <w:b/>
          <w:bCs/>
          <w:color w:val="000000"/>
          <w:kern w:val="32"/>
          <w:sz w:val="32"/>
          <w:szCs w:val="32"/>
          <w:lang w:val="en-US" w:eastAsia="zh-CN" w:bidi="ar"/>
        </w:rPr>
        <w:t>（四）</w:t>
      </w:r>
      <w:r>
        <w:rPr>
          <w:rFonts w:hint="default" w:ascii="方正楷体_GBK" w:hAnsi="方正楷体_GBK" w:eastAsia="方正楷体_GBK" w:cs="方正楷体_GBK"/>
          <w:b/>
          <w:bCs/>
          <w:color w:val="000000"/>
          <w:kern w:val="32"/>
          <w:sz w:val="32"/>
          <w:szCs w:val="32"/>
          <w:lang w:val="en-US" w:eastAsia="zh-CN" w:bidi="ar"/>
        </w:rPr>
        <w:t>平台建设情况</w:t>
      </w:r>
    </w:p>
    <w:p w14:paraId="04FA3FF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32"/>
          <w:sz w:val="32"/>
          <w:szCs w:val="32"/>
          <w:lang w:val="en-US" w:eastAsia="zh-CN" w:bidi="ar"/>
        </w:rPr>
      </w:pPr>
      <w:r>
        <w:rPr>
          <w:rFonts w:hint="default" w:ascii="Times New Roman" w:hAnsi="Times New Roman" w:eastAsia="仿宋_GB2312" w:cs="Times New Roman"/>
          <w:color w:val="000000"/>
          <w:kern w:val="32"/>
          <w:sz w:val="32"/>
          <w:szCs w:val="32"/>
          <w:lang w:val="en-US" w:eastAsia="zh-CN" w:bidi="ar"/>
        </w:rPr>
        <w:t>20</w:t>
      </w:r>
      <w:r>
        <w:rPr>
          <w:rFonts w:hint="eastAsia" w:ascii="Times New Roman" w:hAnsi="Times New Roman" w:eastAsia="仿宋_GB2312" w:cs="Times New Roman"/>
          <w:color w:val="000000"/>
          <w:kern w:val="32"/>
          <w:sz w:val="32"/>
          <w:szCs w:val="32"/>
          <w:lang w:val="en-US" w:eastAsia="zh-CN" w:bidi="ar"/>
        </w:rPr>
        <w:t>24</w:t>
      </w:r>
      <w:r>
        <w:rPr>
          <w:rFonts w:hint="default" w:ascii="Times New Roman" w:hAnsi="Times New Roman" w:eastAsia="仿宋_GB2312" w:cs="Times New Roman"/>
          <w:color w:val="000000"/>
          <w:kern w:val="32"/>
          <w:sz w:val="32"/>
          <w:szCs w:val="32"/>
          <w:lang w:val="en-US" w:eastAsia="zh-CN" w:bidi="ar"/>
        </w:rPr>
        <w:t>年</w:t>
      </w:r>
      <w:r>
        <w:rPr>
          <w:rFonts w:hint="eastAsia" w:ascii="Times New Roman" w:hAnsi="Times New Roman" w:eastAsia="仿宋_GB2312" w:cs="Times New Roman"/>
          <w:color w:val="000000"/>
          <w:kern w:val="32"/>
          <w:sz w:val="32"/>
          <w:szCs w:val="32"/>
          <w:lang w:val="en-US" w:eastAsia="zh-CN" w:bidi="ar"/>
        </w:rPr>
        <w:t>，</w:t>
      </w:r>
      <w:r>
        <w:rPr>
          <w:rFonts w:hint="default" w:ascii="Times New Roman" w:hAnsi="Times New Roman" w:eastAsia="仿宋_GB2312" w:cs="Times New Roman"/>
          <w:color w:val="000000"/>
          <w:kern w:val="32"/>
          <w:sz w:val="32"/>
          <w:szCs w:val="32"/>
          <w:lang w:val="en-US" w:eastAsia="zh-CN" w:bidi="ar"/>
        </w:rPr>
        <w:t>我</w:t>
      </w:r>
      <w:r>
        <w:rPr>
          <w:rFonts w:hint="eastAsia" w:ascii="Times New Roman" w:hAnsi="Times New Roman" w:eastAsia="仿宋_GB2312" w:cs="Times New Roman"/>
          <w:color w:val="000000"/>
          <w:kern w:val="32"/>
          <w:sz w:val="32"/>
          <w:szCs w:val="32"/>
          <w:lang w:val="en-US" w:eastAsia="zh-CN" w:bidi="ar"/>
        </w:rPr>
        <w:t>镇</w:t>
      </w:r>
      <w:r>
        <w:rPr>
          <w:rFonts w:hint="default" w:ascii="Times New Roman" w:hAnsi="Times New Roman" w:eastAsia="仿宋_GB2312" w:cs="Times New Roman"/>
          <w:color w:val="000000"/>
          <w:kern w:val="32"/>
          <w:sz w:val="32"/>
          <w:szCs w:val="32"/>
          <w:lang w:val="en-US" w:eastAsia="zh-CN" w:bidi="ar"/>
        </w:rPr>
        <w:t>持续推进政府信息公开平台的建设，严格按照上级部门标准化、规范化建设要求，及时更新政府信息公开指南，定期更新机构职能、业务公文、人事信息、政府信息公开年报及政府信息公开申请等栏目信息，确保政府信息公开及时、准确、高效</w:t>
      </w:r>
      <w:r>
        <w:rPr>
          <w:rFonts w:hint="eastAsia" w:ascii="Times New Roman" w:hAnsi="Times New Roman" w:eastAsia="仿宋_GB2312" w:cs="Times New Roman"/>
          <w:color w:val="000000"/>
          <w:kern w:val="32"/>
          <w:sz w:val="32"/>
          <w:szCs w:val="32"/>
          <w:lang w:val="en-US" w:eastAsia="zh-CN" w:bidi="ar"/>
        </w:rPr>
        <w:t>。</w:t>
      </w:r>
    </w:p>
    <w:p w14:paraId="4B7D8A7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方正楷体_GBK" w:hAnsi="方正楷体_GBK" w:eastAsia="方正楷体_GBK" w:cs="方正楷体_GBK"/>
          <w:b/>
          <w:bCs/>
          <w:color w:val="000000"/>
          <w:kern w:val="32"/>
          <w:sz w:val="32"/>
          <w:szCs w:val="32"/>
          <w:lang w:val="en-US" w:eastAsia="zh-CN" w:bidi="ar"/>
        </w:rPr>
      </w:pPr>
      <w:r>
        <w:rPr>
          <w:rFonts w:hint="eastAsia" w:ascii="方正楷体_GBK" w:hAnsi="方正楷体_GBK" w:eastAsia="方正楷体_GBK" w:cs="方正楷体_GBK"/>
          <w:b/>
          <w:bCs/>
          <w:color w:val="000000"/>
          <w:kern w:val="32"/>
          <w:sz w:val="32"/>
          <w:szCs w:val="32"/>
          <w:lang w:val="en-US" w:eastAsia="zh-CN" w:bidi="ar"/>
        </w:rPr>
        <w:t>（五）</w:t>
      </w:r>
      <w:r>
        <w:rPr>
          <w:rFonts w:hint="default" w:ascii="方正楷体_GBK" w:hAnsi="方正楷体_GBK" w:eastAsia="方正楷体_GBK" w:cs="方正楷体_GBK"/>
          <w:b/>
          <w:bCs/>
          <w:color w:val="000000"/>
          <w:kern w:val="32"/>
          <w:sz w:val="32"/>
          <w:szCs w:val="32"/>
          <w:lang w:val="en-US" w:eastAsia="zh-CN" w:bidi="ar"/>
        </w:rPr>
        <w:t>监督保障情况</w:t>
      </w:r>
    </w:p>
    <w:p w14:paraId="582D1DEF">
      <w:pPr>
        <w:pStyle w:val="7"/>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32"/>
          <w:sz w:val="32"/>
          <w:szCs w:val="32"/>
          <w:lang w:val="en-US" w:eastAsia="zh-CN" w:bidi="ar"/>
        </w:rPr>
      </w:pPr>
      <w:r>
        <w:rPr>
          <w:rFonts w:hint="eastAsia" w:ascii="Times New Roman" w:hAnsi="Times New Roman" w:eastAsia="仿宋_GB2312" w:cs="Times New Roman"/>
          <w:color w:val="000000"/>
          <w:kern w:val="32"/>
          <w:sz w:val="32"/>
          <w:szCs w:val="32"/>
          <w:lang w:val="en-US" w:eastAsia="zh-CN" w:bidi="ar"/>
        </w:rPr>
        <w:t>建立健全政府信息公开工作机制，加强对信息公开工作的监督，及时研究、解决工作中出现的新情况和新问题，不断提高政府信息公开工作的质量和水平，使政务公开工作更加扎实、有序开展。明确各部门的政务公开目标和考核要求，加大政务公开在年度工作考核中所占比例。同时我镇高度重视信息公开的社会评议工作，认真对待和处理来自广大群众对政务公开工作的意见，通过设立意见箱、公布监督电话（0595-86653201）方式收集意见。为确保各项工作落到实处，我镇主动接受社会群众全方位监督，确保信息公开、办事公开、职权公开、对外公开信息有迹可循，社会评议良好，及时接收整改，同时按季度将政府网站公开信息报送至南安市档案馆，方便社会公众查阅监督。2024年未出现因政府信息公开而产生责任追究的情况。</w:t>
      </w:r>
    </w:p>
    <w:p w14:paraId="79C17AD0">
      <w:pPr>
        <w:pStyle w:val="7"/>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w:t>
      </w:r>
      <w:r>
        <w:rPr>
          <w:rFonts w:hint="eastAsia" w:ascii="Times New Roman" w:hAnsi="Times New Roman" w:eastAsia="黑体" w:cs="Times New Roman"/>
          <w:bCs/>
          <w:color w:val="000000"/>
          <w:sz w:val="32"/>
          <w:szCs w:val="32"/>
          <w:lang w:eastAsia="zh-CN"/>
        </w:rPr>
        <w:t>行政机关</w:t>
      </w:r>
      <w:r>
        <w:rPr>
          <w:rFonts w:hint="default" w:ascii="Times New Roman" w:hAnsi="Times New Roman" w:eastAsia="黑体" w:cs="Times New Roman"/>
          <w:bCs/>
          <w:color w:val="000000"/>
          <w:sz w:val="32"/>
          <w:szCs w:val="32"/>
        </w:rPr>
        <w:t>主动公开政府信息情况</w:t>
      </w:r>
    </w:p>
    <w:tbl>
      <w:tblPr>
        <w:tblStyle w:val="9"/>
        <w:tblW w:w="91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8"/>
        <w:gridCol w:w="2070"/>
        <w:gridCol w:w="2055"/>
        <w:gridCol w:w="2450"/>
      </w:tblGrid>
      <w:tr w14:paraId="37344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93" w:type="dxa"/>
            <w:gridSpan w:val="4"/>
            <w:tcBorders>
              <w:top w:val="single" w:color="000000" w:sz="4" w:space="0"/>
              <w:left w:val="single" w:color="000000" w:sz="4" w:space="0"/>
              <w:bottom w:val="single" w:color="000000" w:sz="4" w:space="0"/>
              <w:right w:val="single" w:color="000000" w:sz="4" w:space="0"/>
            </w:tcBorders>
            <w:noWrap w:val="0"/>
            <w:vAlign w:val="center"/>
          </w:tcPr>
          <w:p w14:paraId="7FB73D6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第二十条第（一）项</w:t>
            </w:r>
          </w:p>
        </w:tc>
      </w:tr>
      <w:tr w14:paraId="2352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3A27CDB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信息内容</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38CA2F38">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本年</w:t>
            </w:r>
            <w:r>
              <w:rPr>
                <w:rFonts w:hint="default" w:ascii="Times New Roman" w:hAnsi="Times New Roman" w:eastAsia="仿宋_GB2312" w:cs="Times New Roman"/>
                <w:color w:val="000000"/>
                <w:lang w:eastAsia="zh-CN"/>
              </w:rPr>
              <w:t>制发件数</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ACBB6A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本年</w:t>
            </w:r>
            <w:r>
              <w:rPr>
                <w:rFonts w:hint="default" w:ascii="Times New Roman" w:hAnsi="Times New Roman" w:eastAsia="仿宋_GB2312" w:cs="Times New Roman"/>
                <w:color w:val="000000"/>
                <w:lang w:eastAsia="zh-CN"/>
              </w:rPr>
              <w:t>废止件数</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864E38F">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lang w:eastAsia="zh-CN"/>
              </w:rPr>
            </w:pPr>
            <w:r>
              <w:rPr>
                <w:rFonts w:hint="default" w:ascii="Times New Roman" w:hAnsi="Times New Roman" w:eastAsia="仿宋_GB2312" w:cs="Times New Roman"/>
                <w:color w:val="000000"/>
                <w:lang w:eastAsia="zh-CN"/>
              </w:rPr>
              <w:t>现行有效件数</w:t>
            </w:r>
          </w:p>
        </w:tc>
      </w:tr>
      <w:tr w14:paraId="60226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3A62257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规章</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7690571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val="0"/>
                <w:bCs w:val="0"/>
                <w:color w:val="000000"/>
                <w:lang w:val="en-US" w:eastAsia="zh-CN"/>
              </w:rPr>
            </w:pPr>
            <w:r>
              <w:rPr>
                <w:rFonts w:hint="default" w:ascii="Times New Roman" w:hAnsi="Times New Roman" w:eastAsia="仿宋_GB2312" w:cs="Times New Roman"/>
                <w:b w:val="0"/>
                <w:bCs w:val="0"/>
                <w:color w:val="000000"/>
                <w:lang w:val="en-US" w:eastAsia="zh-CN"/>
              </w:rPr>
              <w:t>0</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B6BB2F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val="0"/>
                <w:bCs w:val="0"/>
                <w:color w:val="000000"/>
                <w:lang w:val="en-US" w:eastAsia="zh-CN"/>
              </w:rPr>
            </w:pPr>
            <w:r>
              <w:rPr>
                <w:rFonts w:hint="default" w:ascii="Times New Roman" w:hAnsi="Times New Roman" w:eastAsia="仿宋_GB2312" w:cs="Times New Roman"/>
                <w:b w:val="0"/>
                <w:bCs w:val="0"/>
                <w:color w:val="000000"/>
                <w:lang w:val="en-US" w:eastAsia="zh-CN"/>
              </w:rPr>
              <w:t>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30F09A5">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val="0"/>
                <w:bCs w:val="0"/>
                <w:color w:val="000000"/>
                <w:lang w:val="en-US" w:eastAsia="zh-CN"/>
              </w:rPr>
            </w:pPr>
            <w:r>
              <w:rPr>
                <w:rFonts w:hint="default" w:ascii="Times New Roman" w:hAnsi="Times New Roman" w:eastAsia="仿宋_GB2312" w:cs="Times New Roman"/>
                <w:b w:val="0"/>
                <w:bCs w:val="0"/>
                <w:color w:val="000000"/>
                <w:lang w:val="en-US" w:eastAsia="zh-CN"/>
              </w:rPr>
              <w:t>0</w:t>
            </w:r>
          </w:p>
        </w:tc>
      </w:tr>
      <w:tr w14:paraId="37E6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6191FF6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规范性文件</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51961F3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val="en-US" w:eastAsia="zh-CN"/>
              </w:rPr>
              <w:t>1</w:t>
            </w:r>
            <w:bookmarkStart w:id="0" w:name="_GoBack"/>
            <w:bookmarkEnd w:id="0"/>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B82524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val="0"/>
                <w:bCs w:val="0"/>
                <w:color w:val="000000"/>
                <w:lang w:val="en-US" w:eastAsia="zh-CN"/>
              </w:rPr>
            </w:pPr>
            <w:r>
              <w:rPr>
                <w:rFonts w:hint="default" w:ascii="Times New Roman" w:hAnsi="Times New Roman" w:eastAsia="仿宋_GB2312" w:cs="Times New Roman"/>
                <w:b w:val="0"/>
                <w:bCs w:val="0"/>
                <w:color w:val="000000"/>
                <w:lang w:val="en-US" w:eastAsia="zh-CN"/>
              </w:rPr>
              <w:t>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5E99E9F">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val="en-US" w:eastAsia="zh-CN"/>
              </w:rPr>
              <w:t>1</w:t>
            </w:r>
          </w:p>
        </w:tc>
      </w:tr>
      <w:tr w14:paraId="0A269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9193" w:type="dxa"/>
            <w:gridSpan w:val="4"/>
            <w:tcBorders>
              <w:top w:val="single" w:color="000000" w:sz="4" w:space="0"/>
              <w:left w:val="single" w:color="000000" w:sz="4" w:space="0"/>
              <w:bottom w:val="single" w:color="000000" w:sz="4" w:space="0"/>
              <w:right w:val="single" w:color="000000" w:sz="4" w:space="0"/>
            </w:tcBorders>
            <w:noWrap w:val="0"/>
            <w:vAlign w:val="center"/>
          </w:tcPr>
          <w:p w14:paraId="6E48D8C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第二十条第（五）项</w:t>
            </w:r>
          </w:p>
        </w:tc>
      </w:tr>
      <w:tr w14:paraId="69F7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3D7230C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信息内容</w:t>
            </w:r>
          </w:p>
        </w:tc>
        <w:tc>
          <w:tcPr>
            <w:tcW w:w="6575" w:type="dxa"/>
            <w:gridSpan w:val="3"/>
            <w:tcBorders>
              <w:top w:val="single" w:color="000000" w:sz="4" w:space="0"/>
              <w:left w:val="single" w:color="000000" w:sz="4" w:space="0"/>
              <w:bottom w:val="single" w:color="000000" w:sz="4" w:space="0"/>
              <w:right w:val="single" w:color="000000" w:sz="4" w:space="0"/>
            </w:tcBorders>
            <w:noWrap w:val="0"/>
            <w:vAlign w:val="center"/>
          </w:tcPr>
          <w:p w14:paraId="1947544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本年处理决定数量</w:t>
            </w:r>
          </w:p>
        </w:tc>
      </w:tr>
      <w:tr w14:paraId="18351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5237155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行政许可</w:t>
            </w:r>
          </w:p>
        </w:tc>
        <w:tc>
          <w:tcPr>
            <w:tcW w:w="6575" w:type="dxa"/>
            <w:gridSpan w:val="3"/>
            <w:tcBorders>
              <w:top w:val="single" w:color="000000" w:sz="4" w:space="0"/>
              <w:left w:val="single" w:color="000000" w:sz="4" w:space="0"/>
              <w:bottom w:val="single" w:color="000000" w:sz="4" w:space="0"/>
              <w:right w:val="single" w:color="000000" w:sz="4" w:space="0"/>
            </w:tcBorders>
            <w:noWrap w:val="0"/>
            <w:vAlign w:val="center"/>
          </w:tcPr>
          <w:p w14:paraId="346BFA2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lang w:val="en-US" w:eastAsia="zh-CN"/>
              </w:rPr>
            </w:pPr>
            <w:r>
              <w:rPr>
                <w:rFonts w:hint="default" w:ascii="Times New Roman" w:hAnsi="Times New Roman" w:eastAsia="仿宋_GB2312" w:cs="Times New Roman"/>
                <w:b w:val="0"/>
                <w:bCs w:val="0"/>
                <w:color w:val="000000"/>
                <w:lang w:val="en-US" w:eastAsia="zh-CN"/>
              </w:rPr>
              <w:t>0</w:t>
            </w:r>
          </w:p>
        </w:tc>
      </w:tr>
      <w:tr w14:paraId="7C6E2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9193" w:type="dxa"/>
            <w:gridSpan w:val="4"/>
            <w:tcBorders>
              <w:top w:val="single" w:color="000000" w:sz="4" w:space="0"/>
              <w:left w:val="single" w:color="000000" w:sz="4" w:space="0"/>
              <w:bottom w:val="single" w:color="000000" w:sz="4" w:space="0"/>
              <w:right w:val="single" w:color="000000" w:sz="4" w:space="0"/>
            </w:tcBorders>
            <w:noWrap w:val="0"/>
            <w:vAlign w:val="center"/>
          </w:tcPr>
          <w:p w14:paraId="403D1D1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第二十条第（六）项</w:t>
            </w:r>
          </w:p>
        </w:tc>
      </w:tr>
      <w:tr w14:paraId="7562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33CD8F5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575" w:type="dxa"/>
            <w:gridSpan w:val="3"/>
            <w:tcBorders>
              <w:top w:val="single" w:color="000000" w:sz="4" w:space="0"/>
              <w:left w:val="single" w:color="000000" w:sz="4" w:space="0"/>
              <w:bottom w:val="single" w:color="000000" w:sz="4" w:space="0"/>
              <w:right w:val="single" w:color="000000" w:sz="4" w:space="0"/>
            </w:tcBorders>
            <w:noWrap w:val="0"/>
            <w:vAlign w:val="center"/>
          </w:tcPr>
          <w:p w14:paraId="08255CF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本年处理决定数量</w:t>
            </w:r>
          </w:p>
        </w:tc>
      </w:tr>
      <w:tr w14:paraId="6DD36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599421B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行政处罚</w:t>
            </w:r>
          </w:p>
        </w:tc>
        <w:tc>
          <w:tcPr>
            <w:tcW w:w="6575" w:type="dxa"/>
            <w:gridSpan w:val="3"/>
            <w:tcBorders>
              <w:top w:val="single" w:color="000000" w:sz="4" w:space="0"/>
              <w:left w:val="single" w:color="000000" w:sz="4" w:space="0"/>
              <w:bottom w:val="single" w:color="000000" w:sz="4" w:space="0"/>
              <w:right w:val="single" w:color="000000" w:sz="4" w:space="0"/>
            </w:tcBorders>
            <w:noWrap w:val="0"/>
            <w:vAlign w:val="center"/>
          </w:tcPr>
          <w:p w14:paraId="3B5E4455">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r w14:paraId="3A08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289AE1D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行政强制</w:t>
            </w:r>
          </w:p>
        </w:tc>
        <w:tc>
          <w:tcPr>
            <w:tcW w:w="6575" w:type="dxa"/>
            <w:gridSpan w:val="3"/>
            <w:tcBorders>
              <w:top w:val="single" w:color="000000" w:sz="4" w:space="0"/>
              <w:left w:val="single" w:color="000000" w:sz="4" w:space="0"/>
              <w:bottom w:val="single" w:color="000000" w:sz="4" w:space="0"/>
              <w:right w:val="single" w:color="000000" w:sz="4" w:space="0"/>
            </w:tcBorders>
            <w:noWrap w:val="0"/>
            <w:vAlign w:val="center"/>
          </w:tcPr>
          <w:p w14:paraId="0B7D03C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r w14:paraId="15A8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93" w:type="dxa"/>
            <w:gridSpan w:val="4"/>
            <w:tcBorders>
              <w:top w:val="single" w:color="000000" w:sz="4" w:space="0"/>
              <w:left w:val="single" w:color="000000" w:sz="4" w:space="0"/>
              <w:bottom w:val="single" w:color="000000" w:sz="4" w:space="0"/>
              <w:right w:val="single" w:color="000000" w:sz="4" w:space="0"/>
            </w:tcBorders>
            <w:noWrap w:val="0"/>
            <w:vAlign w:val="center"/>
          </w:tcPr>
          <w:p w14:paraId="5F6CC68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第二十条第（</w:t>
            </w:r>
            <w:r>
              <w:rPr>
                <w:rFonts w:hint="default" w:ascii="Times New Roman" w:hAnsi="Times New Roman" w:eastAsia="仿宋_GB2312" w:cs="Times New Roman"/>
                <w:color w:val="000000"/>
                <w:lang w:eastAsia="zh-CN"/>
              </w:rPr>
              <w:t>八</w:t>
            </w:r>
            <w:r>
              <w:rPr>
                <w:rFonts w:hint="default" w:ascii="Times New Roman" w:hAnsi="Times New Roman" w:eastAsia="仿宋_GB2312" w:cs="Times New Roman"/>
                <w:color w:val="000000"/>
              </w:rPr>
              <w:t>）项</w:t>
            </w:r>
          </w:p>
        </w:tc>
      </w:tr>
      <w:tr w14:paraId="11847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1BDD4EE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信息内容</w:t>
            </w:r>
          </w:p>
        </w:tc>
        <w:tc>
          <w:tcPr>
            <w:tcW w:w="6575" w:type="dxa"/>
            <w:gridSpan w:val="3"/>
            <w:tcBorders>
              <w:top w:val="single" w:color="000000" w:sz="4" w:space="0"/>
              <w:left w:val="single" w:color="000000" w:sz="4" w:space="0"/>
              <w:bottom w:val="single" w:color="000000" w:sz="4" w:space="0"/>
              <w:right w:val="single" w:color="000000" w:sz="4" w:space="0"/>
            </w:tcBorders>
            <w:noWrap w:val="0"/>
            <w:vAlign w:val="center"/>
          </w:tcPr>
          <w:p w14:paraId="7D40071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lang w:eastAsia="zh-CN"/>
              </w:rPr>
              <w:t>本年收费金额（单位：万元）</w:t>
            </w:r>
          </w:p>
        </w:tc>
      </w:tr>
      <w:tr w14:paraId="30D0A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2618" w:type="dxa"/>
            <w:tcBorders>
              <w:top w:val="single" w:color="000000" w:sz="4" w:space="0"/>
              <w:left w:val="single" w:color="000000" w:sz="4" w:space="0"/>
              <w:bottom w:val="single" w:color="000000" w:sz="4" w:space="0"/>
              <w:right w:val="single" w:color="000000" w:sz="4" w:space="0"/>
            </w:tcBorders>
            <w:noWrap w:val="0"/>
            <w:vAlign w:val="center"/>
          </w:tcPr>
          <w:p w14:paraId="3B26AC0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lang w:eastAsia="zh-CN"/>
              </w:rPr>
              <w:t>行政事业收费</w:t>
            </w:r>
          </w:p>
        </w:tc>
        <w:tc>
          <w:tcPr>
            <w:tcW w:w="6575" w:type="dxa"/>
            <w:gridSpan w:val="3"/>
            <w:tcBorders>
              <w:top w:val="single" w:color="000000" w:sz="4" w:space="0"/>
              <w:left w:val="single" w:color="000000" w:sz="4" w:space="0"/>
              <w:bottom w:val="single" w:color="000000" w:sz="4" w:space="0"/>
              <w:right w:val="single" w:color="000000" w:sz="4" w:space="0"/>
            </w:tcBorders>
            <w:noWrap w:val="0"/>
            <w:vAlign w:val="center"/>
          </w:tcPr>
          <w:p w14:paraId="608AFA9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bl>
    <w:p w14:paraId="46C64629">
      <w:pPr>
        <w:pStyle w:val="7"/>
        <w:keepNext w:val="0"/>
        <w:keepLines w:val="0"/>
        <w:pageBreakBefore w:val="0"/>
        <w:kinsoku/>
        <w:wordWrap/>
        <w:overflowPunct/>
        <w:topLinePunct w:val="0"/>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三、收到和处理政府信息公开申请情况</w:t>
      </w:r>
    </w:p>
    <w:tbl>
      <w:tblPr>
        <w:tblStyle w:val="9"/>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466"/>
        <w:gridCol w:w="1984"/>
        <w:gridCol w:w="602"/>
        <w:gridCol w:w="675"/>
        <w:gridCol w:w="675"/>
        <w:gridCol w:w="821"/>
        <w:gridCol w:w="821"/>
        <w:gridCol w:w="709"/>
        <w:gridCol w:w="564"/>
      </w:tblGrid>
      <w:tr w14:paraId="436CC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053A404">
            <w:pPr>
              <w:keepNext w:val="0"/>
              <w:keepLines w:val="0"/>
              <w:pageBreakBefore w:val="0"/>
              <w:widowControl/>
              <w:kinsoku/>
              <w:wordWrap/>
              <w:overflowPunct/>
              <w:topLinePunct w:val="0"/>
              <w:autoSpaceDN/>
              <w:bidi w:val="0"/>
              <w:adjustRightInd/>
              <w:snapToGrid/>
              <w:spacing w:line="54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（本列数据的勾稽关系为：第一项加第二项之和，等于第三项加第四项之和）</w:t>
            </w:r>
          </w:p>
        </w:tc>
        <w:tc>
          <w:tcPr>
            <w:tcW w:w="4867" w:type="dxa"/>
            <w:gridSpan w:val="7"/>
            <w:tcBorders>
              <w:top w:val="single" w:color="000000" w:sz="4" w:space="0"/>
              <w:left w:val="single" w:color="000000" w:sz="4" w:space="0"/>
              <w:bottom w:val="single" w:color="000000" w:sz="4" w:space="0"/>
              <w:right w:val="single" w:color="000000" w:sz="4" w:space="0"/>
            </w:tcBorders>
            <w:noWrap w:val="0"/>
            <w:vAlign w:val="center"/>
          </w:tcPr>
          <w:p w14:paraId="0D8A259E">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申请人情况</w:t>
            </w:r>
          </w:p>
        </w:tc>
      </w:tr>
      <w:tr w14:paraId="1E2F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E8049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7C56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自然人</w:t>
            </w:r>
          </w:p>
        </w:tc>
        <w:tc>
          <w:tcPr>
            <w:tcW w:w="3701" w:type="dxa"/>
            <w:gridSpan w:val="5"/>
            <w:tcBorders>
              <w:top w:val="single" w:color="000000" w:sz="4" w:space="0"/>
              <w:left w:val="single" w:color="000000" w:sz="4" w:space="0"/>
              <w:bottom w:val="single" w:color="000000" w:sz="4" w:space="0"/>
              <w:right w:val="single" w:color="000000" w:sz="4" w:space="0"/>
            </w:tcBorders>
            <w:noWrap w:val="0"/>
            <w:vAlign w:val="center"/>
          </w:tcPr>
          <w:p w14:paraId="56F61A03">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法人或其他组织</w:t>
            </w:r>
          </w:p>
        </w:tc>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14:paraId="28557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总计</w:t>
            </w:r>
          </w:p>
        </w:tc>
      </w:tr>
      <w:tr w14:paraId="7304A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1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A3C63F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27152">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color w:val="000000"/>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C249E9">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商业企业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35A8489">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科研机构</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F2FFFE9">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社会公益组织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03E19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法律服务机构</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43B7C1">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其他</w:t>
            </w:r>
          </w:p>
        </w:tc>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595DC">
            <w:pPr>
              <w:keepNext w:val="0"/>
              <w:keepLines w:val="0"/>
              <w:pageBreakBefore w:val="0"/>
              <w:widowControl/>
              <w:kinsoku/>
              <w:wordWrap/>
              <w:overflowPunct/>
              <w:topLinePunct w:val="0"/>
              <w:autoSpaceDN/>
              <w:bidi w:val="0"/>
              <w:adjustRightInd/>
              <w:snapToGrid/>
              <w:spacing w:line="540" w:lineRule="exact"/>
              <w:jc w:val="center"/>
              <w:textAlignment w:val="auto"/>
              <w:rPr>
                <w:rFonts w:hint="default" w:ascii="Times New Roman" w:hAnsi="Times New Roman" w:eastAsia="仿宋_GB2312" w:cs="Times New Roman"/>
                <w:color w:val="000000"/>
                <w:kern w:val="0"/>
                <w:sz w:val="24"/>
              </w:rPr>
            </w:pPr>
          </w:p>
        </w:tc>
      </w:tr>
      <w:tr w14:paraId="388B6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413" w:type="dxa"/>
            <w:gridSpan w:val="3"/>
            <w:tcBorders>
              <w:top w:val="single" w:color="000000" w:sz="4" w:space="0"/>
              <w:left w:val="single" w:color="000000" w:sz="4" w:space="0"/>
              <w:bottom w:val="single" w:color="000000" w:sz="4" w:space="0"/>
              <w:right w:val="single" w:color="000000" w:sz="4" w:space="0"/>
            </w:tcBorders>
            <w:noWrap w:val="0"/>
            <w:vAlign w:val="center"/>
          </w:tcPr>
          <w:p w14:paraId="0079FB73">
            <w:pPr>
              <w:keepNext w:val="0"/>
              <w:keepLines w:val="0"/>
              <w:pageBreakBefore w:val="0"/>
              <w:widowControl/>
              <w:kinsoku/>
              <w:wordWrap/>
              <w:overflowPunct/>
              <w:topLinePunct w:val="0"/>
              <w:autoSpaceDN/>
              <w:bidi w:val="0"/>
              <w:adjustRightInd/>
              <w:snapToGrid/>
              <w:spacing w:line="54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一、本年新收政府信息公开申请数量</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84D0E0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E44D08">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E6662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0F244F2">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7FBF6B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F1CC7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1113D083">
            <w:pPr>
              <w:keepNext w:val="0"/>
              <w:keepLines w:val="0"/>
              <w:pageBreakBefore w:val="0"/>
              <w:widowControl/>
              <w:kinsoku/>
              <w:wordWrap/>
              <w:overflowPunct/>
              <w:topLinePunct w:val="0"/>
              <w:autoSpaceDN/>
              <w:bidi w:val="0"/>
              <w:adjustRightInd/>
              <w:snapToGrid/>
              <w:spacing w:line="540" w:lineRule="exact"/>
              <w:jc w:val="center"/>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0</w:t>
            </w:r>
          </w:p>
        </w:tc>
      </w:tr>
      <w:tr w14:paraId="0FBB0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413" w:type="dxa"/>
            <w:gridSpan w:val="3"/>
            <w:tcBorders>
              <w:top w:val="single" w:color="000000" w:sz="4" w:space="0"/>
              <w:left w:val="single" w:color="000000" w:sz="4" w:space="0"/>
              <w:bottom w:val="single" w:color="000000" w:sz="4" w:space="0"/>
              <w:right w:val="single" w:color="000000" w:sz="4" w:space="0"/>
            </w:tcBorders>
            <w:noWrap w:val="0"/>
            <w:vAlign w:val="center"/>
          </w:tcPr>
          <w:p w14:paraId="73E0C79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二、上年结转政府信息公开申请数量</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2339FF0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F40C9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FAFBA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3623E8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CCD7C35">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AFCC20">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57D5BD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r w14:paraId="4C8D6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6EB0CC">
            <w:pPr>
              <w:keepNext w:val="0"/>
              <w:keepLines w:val="0"/>
              <w:pageBreakBefore w:val="0"/>
              <w:widowControl/>
              <w:kinsoku/>
              <w:wordWrap/>
              <w:overflowPunct/>
              <w:topLinePunct w:val="0"/>
              <w:autoSpaceDN/>
              <w:bidi w:val="0"/>
              <w:adjustRightInd/>
              <w:snapToGrid/>
              <w:spacing w:line="540" w:lineRule="exact"/>
              <w:jc w:val="center"/>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三、本年度办理结果</w:t>
            </w:r>
          </w:p>
        </w:tc>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14:paraId="4B9AB71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（一）予以公开</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DD0B4E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61F37FF">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D5DE8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B20072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0F6443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434E1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0964603F">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r w14:paraId="5FB0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C220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14:paraId="429545C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（二）部分公开（区分处理的，只计这一情形，不计其他情形）</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99FF3B2">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0A6EC7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5F734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2507A8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D5B4CF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27614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6EC65B2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r w14:paraId="4383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090C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5B212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（三）不予公开</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06B7A65">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1.属于国家秘密</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86A13B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DC5E6B">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52E0621">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B983431">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FD1CD0E">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A22BA1">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DA33AFA">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1FD3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6D1C0">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8F80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C4C9F9A">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2.其他法律行政法规禁止公开</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A1B264F">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D74DF7">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1ED07F">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9909B0D">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653BA9A">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50022C">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50C631E1">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356DD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51400">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0E030">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939D2F3">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3.危及“三安全一稳定”</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F30F633">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27F582">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734F36">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6E6AEE8">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C7CFF8B">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06D66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7E15E468">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7F453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1A7E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9AE8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9A6C716">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4.保护第三方合法权益</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E3B4A33">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FE98AD">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719D4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C561B2C">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8F47F44">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7AF5EC">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4EAC373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4E2A5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CA6C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260A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6BCD837">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5.属于三类内部事务信息</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2ED03BCA">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134618">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FA838D">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502CCD1">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F24A114">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0CE9D5">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55E5C1C2">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6C34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C860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4733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00A8C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6.属于四类过程性信息</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8A3C836">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B41551">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0504E6">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E542010">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C070A6C">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BB6B1C">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7C9B9565">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01200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1F6A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C6500">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A72D45E">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7.属于行政执法案卷</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D0E5784">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BE29B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8B9737">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878E12A">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025BD8C">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EA9ED7">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B24BB67">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36711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454E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7DF1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D687DA8">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8.属于行政查询事项</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827F1B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60BC5E">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1ACF0B">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9EE2B1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F344DC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6C36D4">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7B457FAC">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48D0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DA6D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27B9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（四）无法提供</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DF1B1F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1.本机关不掌握相关政府信息</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E49DFDB">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C6282BC">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8859B2D">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D6BE880">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1FAF960">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5D43D4">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681AA849">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515CB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B70C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EC2C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left"/>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7DF7C86">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2.没有现成信息需要另行制作</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7B039D7">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49A963">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7067AE">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1ACA337">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4B570D0">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518A94">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1C7F103E">
            <w:pPr>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34F23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A0492">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4A56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EC8AB20">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3.补正后申请内容仍不明确</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2801A69">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393DFF">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E101C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DED16B9">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8848FA5">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5B068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71290AD8">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13526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EF3E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541C92">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（五）不予处理</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7C443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1.信访举报投诉类申请</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32A7CB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546237">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1A4A1D">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A789CB7">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D5C49D1">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3AD937">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78DD3B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0854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436A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4D33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242991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2.重复申请</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F81238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68F197">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62E13E">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89317A6">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ED6F60B">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7A370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EC02F7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3486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CA287">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53795">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8946A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3.要求提供公开出版物</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EBF265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AB131B">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908217">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39B76F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D59331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9B6C38">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5D58C56B">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70689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3065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1360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B8EAC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4.无正当理由大量反复申请</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C538D2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FA2A9E">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C0CC12">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F2499CA">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6B9ECB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5D6119">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0CDC6C78">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0D54A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FAEDF">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73DA0">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06772E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5.要求行政机关确认或重新出具已获取信息</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53E26F2">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52FF09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B24C41">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A8CB66A">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8147CA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83B30E">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00B3246D">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105C8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EF4A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restart"/>
            <w:tcBorders>
              <w:top w:val="single" w:color="000000" w:sz="4" w:space="0"/>
              <w:left w:val="single" w:color="000000" w:sz="4" w:space="0"/>
              <w:right w:val="single" w:color="000000" w:sz="4" w:space="0"/>
            </w:tcBorders>
            <w:noWrap w:val="0"/>
            <w:vAlign w:val="center"/>
          </w:tcPr>
          <w:p w14:paraId="52F53452">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（六）其他处理</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206D2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1、申请人无正当理由逾期不补正、行政机关不再处理其政府信息公开申请</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008CA9F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22DF1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8BEDE5">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6AC72DA">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BBDF58A">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09628A">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43882BC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r w14:paraId="096AE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72AA8">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left w:val="single" w:color="000000" w:sz="4" w:space="0"/>
              <w:right w:val="single" w:color="000000" w:sz="4" w:space="0"/>
            </w:tcBorders>
            <w:noWrap w:val="0"/>
            <w:vAlign w:val="center"/>
          </w:tcPr>
          <w:p w14:paraId="2B402D6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6736A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2.申请人逾期未按收费通知要求缴纳费用、行政机关不再处理其政府信息公开申请</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14CF8BB">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72D1A1">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4A3A2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D05A3B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ED3B97E">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21E5F8">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31E23A2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r w14:paraId="0EAD6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7E7D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466" w:type="dxa"/>
            <w:vMerge w:val="continue"/>
            <w:tcBorders>
              <w:left w:val="single" w:color="000000" w:sz="4" w:space="0"/>
              <w:right w:val="single" w:color="000000" w:sz="4" w:space="0"/>
            </w:tcBorders>
            <w:noWrap w:val="0"/>
            <w:vAlign w:val="center"/>
          </w:tcPr>
          <w:p w14:paraId="64BF4B1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8AABB59">
            <w:pPr>
              <w:keepNext w:val="0"/>
              <w:keepLines w:val="0"/>
              <w:pageBreakBefore w:val="0"/>
              <w:widowControl/>
              <w:kinsoku/>
              <w:wordWrap/>
              <w:overflowPunct/>
              <w:topLinePunct w:val="0"/>
              <w:autoSpaceDN/>
              <w:bidi w:val="0"/>
              <w:adjustRightInd/>
              <w:snapToGrid/>
              <w:spacing w:line="540" w:lineRule="exact"/>
              <w:jc w:val="left"/>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3.其他</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34BE476">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B71129">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C053DA">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2FFA69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C27AE2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0B20FE">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EE9D7CD">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r>
      <w:tr w14:paraId="20D9A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8B65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p>
        </w:tc>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14:paraId="07D388DF">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（七）总计</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0A2D2EF4">
            <w:pPr>
              <w:pStyle w:val="7"/>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AE192E">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A89B6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6B8178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3DD7119">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08269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62D09409">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r w14:paraId="6DBCC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413" w:type="dxa"/>
            <w:gridSpan w:val="3"/>
            <w:tcBorders>
              <w:top w:val="single" w:color="000000" w:sz="4" w:space="0"/>
              <w:left w:val="single" w:color="000000" w:sz="4" w:space="0"/>
              <w:bottom w:val="single" w:color="000000" w:sz="4" w:space="0"/>
              <w:right w:val="single" w:color="000000" w:sz="4" w:space="0"/>
            </w:tcBorders>
            <w:noWrap w:val="0"/>
            <w:vAlign w:val="center"/>
          </w:tcPr>
          <w:p w14:paraId="614F0C38">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四、结转下年度继续办理</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B500C99">
            <w:pPr>
              <w:pStyle w:val="7"/>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865882">
            <w:pPr>
              <w:pStyle w:val="7"/>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val="en-US" w:eastAsia="zh-CN"/>
              </w:rPr>
              <w:t>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584965">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A785CF3">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BCBA888">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AE8640">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28A1E974">
            <w:pPr>
              <w:keepNext w:val="0"/>
              <w:keepLines w:val="0"/>
              <w:pageBreakBefore w:val="0"/>
              <w:kinsoku/>
              <w:wordWrap/>
              <w:overflowPunct/>
              <w:topLinePunct w:val="0"/>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0</w:t>
            </w:r>
          </w:p>
        </w:tc>
      </w:tr>
    </w:tbl>
    <w:p w14:paraId="3A3CBA4B">
      <w:pPr>
        <w:pStyle w:val="7"/>
        <w:keepNext w:val="0"/>
        <w:keepLines w:val="0"/>
        <w:pageBreakBefore w:val="0"/>
        <w:kinsoku/>
        <w:wordWrap/>
        <w:overflowPunct/>
        <w:topLinePunct w:val="0"/>
        <w:autoSpaceDN/>
        <w:bidi w:val="0"/>
        <w:adjustRightInd/>
        <w:snapToGrid/>
        <w:spacing w:before="0" w:beforeAutospacing="0" w:after="0" w:afterAutospacing="0" w:line="540" w:lineRule="exact"/>
        <w:ind w:firstLine="640" w:firstLineChars="200"/>
        <w:jc w:val="both"/>
        <w:textAlignment w:val="auto"/>
        <w:rPr>
          <w:rFonts w:ascii="黑体" w:hAnsi="黑体" w:eastAsia="黑体" w:cs="Times New Roman"/>
          <w:bCs/>
          <w:color w:val="000000"/>
          <w:sz w:val="32"/>
          <w:szCs w:val="32"/>
        </w:rPr>
      </w:pPr>
      <w:r>
        <w:rPr>
          <w:rFonts w:hint="eastAsia" w:ascii="黑体" w:hAnsi="黑体" w:eastAsia="黑体" w:cs="Times New Roman"/>
          <w:bCs/>
          <w:color w:val="000000"/>
          <w:sz w:val="32"/>
          <w:szCs w:val="32"/>
        </w:rPr>
        <w:t>四、政府信息公开行政复议、行政诉讼情况</w:t>
      </w:r>
    </w:p>
    <w:tbl>
      <w:tblPr>
        <w:tblStyle w:val="9"/>
        <w:tblW w:w="90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601"/>
        <w:gridCol w:w="601"/>
        <w:gridCol w:w="601"/>
        <w:gridCol w:w="601"/>
        <w:gridCol w:w="601"/>
        <w:gridCol w:w="601"/>
        <w:gridCol w:w="601"/>
        <w:gridCol w:w="601"/>
        <w:gridCol w:w="601"/>
        <w:gridCol w:w="601"/>
        <w:gridCol w:w="601"/>
        <w:gridCol w:w="601"/>
        <w:gridCol w:w="602"/>
        <w:gridCol w:w="604"/>
      </w:tblGrid>
      <w:tr w14:paraId="4E5E4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5" w:type="dxa"/>
            <w:gridSpan w:val="5"/>
            <w:tcBorders>
              <w:top w:val="single" w:color="000000" w:sz="4" w:space="0"/>
              <w:left w:val="single" w:color="000000" w:sz="4" w:space="0"/>
              <w:bottom w:val="single" w:color="000000" w:sz="4" w:space="0"/>
              <w:right w:val="single" w:color="000000" w:sz="4" w:space="0"/>
            </w:tcBorders>
            <w:noWrap w:val="0"/>
            <w:vAlign w:val="top"/>
          </w:tcPr>
          <w:p w14:paraId="52340C9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行政复议</w:t>
            </w:r>
          </w:p>
        </w:tc>
        <w:tc>
          <w:tcPr>
            <w:tcW w:w="6014" w:type="dxa"/>
            <w:gridSpan w:val="10"/>
            <w:tcBorders>
              <w:top w:val="single" w:color="000000" w:sz="4" w:space="0"/>
              <w:left w:val="single" w:color="000000" w:sz="4" w:space="0"/>
              <w:bottom w:val="single" w:color="000000" w:sz="4" w:space="0"/>
              <w:right w:val="single" w:color="000000" w:sz="4" w:space="0"/>
            </w:tcBorders>
            <w:noWrap w:val="0"/>
            <w:vAlign w:val="top"/>
          </w:tcPr>
          <w:p w14:paraId="4D1AAE1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行政诉讼</w:t>
            </w:r>
          </w:p>
        </w:tc>
      </w:tr>
      <w:tr w14:paraId="017D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1" w:type="dxa"/>
            <w:vMerge w:val="restart"/>
            <w:tcBorders>
              <w:top w:val="single" w:color="000000" w:sz="4" w:space="0"/>
              <w:left w:val="single" w:color="000000" w:sz="4" w:space="0"/>
              <w:bottom w:val="single" w:color="000000" w:sz="4" w:space="0"/>
              <w:right w:val="single" w:color="000000" w:sz="4" w:space="0"/>
            </w:tcBorders>
            <w:noWrap w:val="0"/>
            <w:vAlign w:val="top"/>
          </w:tcPr>
          <w:p w14:paraId="4FA2FDC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结果维持</w:t>
            </w:r>
          </w:p>
        </w:tc>
        <w:tc>
          <w:tcPr>
            <w:tcW w:w="601" w:type="dxa"/>
            <w:vMerge w:val="restart"/>
            <w:tcBorders>
              <w:top w:val="single" w:color="000000" w:sz="4" w:space="0"/>
              <w:left w:val="single" w:color="000000" w:sz="4" w:space="0"/>
              <w:bottom w:val="single" w:color="000000" w:sz="4" w:space="0"/>
              <w:right w:val="single" w:color="000000" w:sz="4" w:space="0"/>
            </w:tcBorders>
            <w:noWrap w:val="0"/>
            <w:vAlign w:val="top"/>
          </w:tcPr>
          <w:p w14:paraId="0021AFA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结果纠正</w:t>
            </w:r>
          </w:p>
        </w:tc>
        <w:tc>
          <w:tcPr>
            <w:tcW w:w="601" w:type="dxa"/>
            <w:vMerge w:val="restart"/>
            <w:tcBorders>
              <w:top w:val="single" w:color="000000" w:sz="4" w:space="0"/>
              <w:left w:val="single" w:color="000000" w:sz="4" w:space="0"/>
              <w:bottom w:val="single" w:color="000000" w:sz="4" w:space="0"/>
              <w:right w:val="single" w:color="000000" w:sz="4" w:space="0"/>
            </w:tcBorders>
            <w:noWrap w:val="0"/>
            <w:vAlign w:val="top"/>
          </w:tcPr>
          <w:p w14:paraId="366D8B3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其他结果</w:t>
            </w:r>
          </w:p>
        </w:tc>
        <w:tc>
          <w:tcPr>
            <w:tcW w:w="601" w:type="dxa"/>
            <w:vMerge w:val="restart"/>
            <w:tcBorders>
              <w:top w:val="single" w:color="000000" w:sz="4" w:space="0"/>
              <w:left w:val="single" w:color="000000" w:sz="4" w:space="0"/>
              <w:bottom w:val="single" w:color="000000" w:sz="4" w:space="0"/>
              <w:right w:val="single" w:color="000000" w:sz="4" w:space="0"/>
            </w:tcBorders>
            <w:noWrap w:val="0"/>
            <w:vAlign w:val="top"/>
          </w:tcPr>
          <w:p w14:paraId="36A1910F">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尚未审结</w:t>
            </w:r>
          </w:p>
        </w:tc>
        <w:tc>
          <w:tcPr>
            <w:tcW w:w="601" w:type="dxa"/>
            <w:vMerge w:val="restart"/>
            <w:tcBorders>
              <w:top w:val="single" w:color="000000" w:sz="4" w:space="0"/>
              <w:left w:val="single" w:color="000000" w:sz="4" w:space="0"/>
              <w:bottom w:val="single" w:color="000000" w:sz="4" w:space="0"/>
              <w:right w:val="single" w:color="000000" w:sz="4" w:space="0"/>
            </w:tcBorders>
            <w:noWrap w:val="0"/>
            <w:vAlign w:val="top"/>
          </w:tcPr>
          <w:p w14:paraId="2F5C064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总计</w:t>
            </w:r>
          </w:p>
        </w:tc>
        <w:tc>
          <w:tcPr>
            <w:tcW w:w="3005" w:type="dxa"/>
            <w:gridSpan w:val="5"/>
            <w:tcBorders>
              <w:top w:val="single" w:color="000000" w:sz="4" w:space="0"/>
              <w:left w:val="single" w:color="000000" w:sz="4" w:space="0"/>
              <w:bottom w:val="single" w:color="000000" w:sz="4" w:space="0"/>
              <w:right w:val="single" w:color="000000" w:sz="4" w:space="0"/>
            </w:tcBorders>
            <w:noWrap w:val="0"/>
            <w:vAlign w:val="top"/>
          </w:tcPr>
          <w:p w14:paraId="1786B862">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未经复议直接起诉</w:t>
            </w:r>
          </w:p>
        </w:tc>
        <w:tc>
          <w:tcPr>
            <w:tcW w:w="3009" w:type="dxa"/>
            <w:gridSpan w:val="5"/>
            <w:tcBorders>
              <w:top w:val="single" w:color="000000" w:sz="4" w:space="0"/>
              <w:left w:val="single" w:color="000000" w:sz="4" w:space="0"/>
              <w:bottom w:val="single" w:color="000000" w:sz="4" w:space="0"/>
              <w:right w:val="single" w:color="000000" w:sz="4" w:space="0"/>
            </w:tcBorders>
            <w:noWrap w:val="0"/>
            <w:vAlign w:val="top"/>
          </w:tcPr>
          <w:p w14:paraId="60118A3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复议后起诉</w:t>
            </w:r>
          </w:p>
        </w:tc>
      </w:tr>
      <w:tr w14:paraId="7220F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601" w:type="dxa"/>
            <w:vMerge w:val="continue"/>
            <w:tcBorders>
              <w:top w:val="single" w:color="000000" w:sz="4" w:space="0"/>
              <w:left w:val="single" w:color="000000" w:sz="4" w:space="0"/>
              <w:bottom w:val="single" w:color="000000" w:sz="4" w:space="0"/>
              <w:right w:val="single" w:color="000000" w:sz="4" w:space="0"/>
            </w:tcBorders>
            <w:noWrap w:val="0"/>
            <w:vAlign w:val="top"/>
          </w:tcPr>
          <w:p w14:paraId="5CC0AE7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p>
        </w:tc>
        <w:tc>
          <w:tcPr>
            <w:tcW w:w="601" w:type="dxa"/>
            <w:vMerge w:val="continue"/>
            <w:tcBorders>
              <w:top w:val="single" w:color="000000" w:sz="4" w:space="0"/>
              <w:left w:val="single" w:color="000000" w:sz="4" w:space="0"/>
              <w:bottom w:val="single" w:color="000000" w:sz="4" w:space="0"/>
              <w:right w:val="single" w:color="000000" w:sz="4" w:space="0"/>
            </w:tcBorders>
            <w:noWrap w:val="0"/>
            <w:vAlign w:val="top"/>
          </w:tcPr>
          <w:p w14:paraId="7E2CA970">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p>
        </w:tc>
        <w:tc>
          <w:tcPr>
            <w:tcW w:w="601" w:type="dxa"/>
            <w:vMerge w:val="continue"/>
            <w:tcBorders>
              <w:top w:val="single" w:color="000000" w:sz="4" w:space="0"/>
              <w:left w:val="single" w:color="000000" w:sz="4" w:space="0"/>
              <w:bottom w:val="single" w:color="000000" w:sz="4" w:space="0"/>
              <w:right w:val="single" w:color="000000" w:sz="4" w:space="0"/>
            </w:tcBorders>
            <w:noWrap w:val="0"/>
            <w:vAlign w:val="top"/>
          </w:tcPr>
          <w:p w14:paraId="35B3D4AB">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p>
        </w:tc>
        <w:tc>
          <w:tcPr>
            <w:tcW w:w="601" w:type="dxa"/>
            <w:vMerge w:val="continue"/>
            <w:tcBorders>
              <w:top w:val="single" w:color="000000" w:sz="4" w:space="0"/>
              <w:left w:val="single" w:color="000000" w:sz="4" w:space="0"/>
              <w:bottom w:val="single" w:color="000000" w:sz="4" w:space="0"/>
              <w:right w:val="single" w:color="000000" w:sz="4" w:space="0"/>
            </w:tcBorders>
            <w:noWrap w:val="0"/>
            <w:vAlign w:val="top"/>
          </w:tcPr>
          <w:p w14:paraId="1160550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p>
        </w:tc>
        <w:tc>
          <w:tcPr>
            <w:tcW w:w="601" w:type="dxa"/>
            <w:vMerge w:val="continue"/>
            <w:tcBorders>
              <w:top w:val="single" w:color="000000" w:sz="4" w:space="0"/>
              <w:left w:val="single" w:color="000000" w:sz="4" w:space="0"/>
              <w:bottom w:val="single" w:color="000000" w:sz="4" w:space="0"/>
              <w:right w:val="single" w:color="000000" w:sz="4" w:space="0"/>
            </w:tcBorders>
            <w:noWrap w:val="0"/>
            <w:vAlign w:val="top"/>
          </w:tcPr>
          <w:p w14:paraId="10EC0DE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34C00B86">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结果维持</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60DE88CC">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结果纠正</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7ABDDD1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其他结果</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1E7A91B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尚未审结</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2997452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总计</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44F46E9D">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结果维持</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64C447E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结果纠正</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35432395">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其他结果</w:t>
            </w:r>
          </w:p>
        </w:tc>
        <w:tc>
          <w:tcPr>
            <w:tcW w:w="602" w:type="dxa"/>
            <w:tcBorders>
              <w:top w:val="single" w:color="000000" w:sz="4" w:space="0"/>
              <w:left w:val="single" w:color="000000" w:sz="4" w:space="0"/>
              <w:bottom w:val="single" w:color="000000" w:sz="4" w:space="0"/>
              <w:right w:val="single" w:color="000000" w:sz="4" w:space="0"/>
            </w:tcBorders>
            <w:noWrap w:val="0"/>
            <w:vAlign w:val="top"/>
          </w:tcPr>
          <w:p w14:paraId="3C27C32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尚未审结</w:t>
            </w:r>
          </w:p>
        </w:tc>
        <w:tc>
          <w:tcPr>
            <w:tcW w:w="604" w:type="dxa"/>
            <w:tcBorders>
              <w:top w:val="single" w:color="000000" w:sz="4" w:space="0"/>
              <w:left w:val="single" w:color="000000" w:sz="4" w:space="0"/>
              <w:bottom w:val="single" w:color="000000" w:sz="4" w:space="0"/>
              <w:right w:val="single" w:color="000000" w:sz="4" w:space="0"/>
            </w:tcBorders>
            <w:noWrap w:val="0"/>
            <w:vAlign w:val="top"/>
          </w:tcPr>
          <w:p w14:paraId="7F21369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仿宋_GB2312" w:cs="Times New Roman"/>
                <w:b/>
                <w:bCs/>
                <w:color w:val="000000"/>
              </w:rPr>
            </w:pPr>
            <w:r>
              <w:rPr>
                <w:rFonts w:hint="default" w:ascii="Times New Roman" w:hAnsi="Times New Roman" w:eastAsia="仿宋_GB2312" w:cs="Times New Roman"/>
                <w:color w:val="000000"/>
              </w:rPr>
              <w:t>总计</w:t>
            </w:r>
          </w:p>
        </w:tc>
      </w:tr>
      <w:tr w14:paraId="1FED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1" w:type="dxa"/>
            <w:tcBorders>
              <w:top w:val="single" w:color="000000" w:sz="4" w:space="0"/>
              <w:left w:val="single" w:color="000000" w:sz="4" w:space="0"/>
              <w:bottom w:val="single" w:color="000000" w:sz="4" w:space="0"/>
              <w:right w:val="single" w:color="000000" w:sz="4" w:space="0"/>
            </w:tcBorders>
            <w:noWrap w:val="0"/>
            <w:vAlign w:val="top"/>
          </w:tcPr>
          <w:p w14:paraId="395381F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641B58D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5ED21281">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0389598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7B44D52E">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0EA7EA4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4F6BF560">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03217DCA">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193E509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68C5EAAF">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default"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76FA3B1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5E2CF703">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1" w:type="dxa"/>
            <w:tcBorders>
              <w:top w:val="single" w:color="000000" w:sz="4" w:space="0"/>
              <w:left w:val="single" w:color="000000" w:sz="4" w:space="0"/>
              <w:bottom w:val="single" w:color="000000" w:sz="4" w:space="0"/>
              <w:right w:val="single" w:color="000000" w:sz="4" w:space="0"/>
            </w:tcBorders>
            <w:noWrap w:val="0"/>
            <w:vAlign w:val="top"/>
          </w:tcPr>
          <w:p w14:paraId="110FC732">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2" w:type="dxa"/>
            <w:tcBorders>
              <w:top w:val="single" w:color="000000" w:sz="4" w:space="0"/>
              <w:left w:val="single" w:color="000000" w:sz="4" w:space="0"/>
              <w:bottom w:val="single" w:color="000000" w:sz="4" w:space="0"/>
              <w:right w:val="single" w:color="000000" w:sz="4" w:space="0"/>
            </w:tcBorders>
            <w:noWrap w:val="0"/>
            <w:vAlign w:val="top"/>
          </w:tcPr>
          <w:p w14:paraId="232ACDF4">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c>
          <w:tcPr>
            <w:tcW w:w="604" w:type="dxa"/>
            <w:tcBorders>
              <w:top w:val="single" w:color="000000" w:sz="4" w:space="0"/>
              <w:left w:val="single" w:color="000000" w:sz="4" w:space="0"/>
              <w:bottom w:val="single" w:color="000000" w:sz="4" w:space="0"/>
              <w:right w:val="single" w:color="000000" w:sz="4" w:space="0"/>
            </w:tcBorders>
            <w:noWrap w:val="0"/>
            <w:vAlign w:val="top"/>
          </w:tcPr>
          <w:p w14:paraId="3F67F1E9">
            <w:pPr>
              <w:pStyle w:val="7"/>
              <w:keepNext w:val="0"/>
              <w:keepLines w:val="0"/>
              <w:pageBreakBefore w:val="0"/>
              <w:kinsoku/>
              <w:wordWrap/>
              <w:overflowPunct/>
              <w:topLinePunct w:val="0"/>
              <w:autoSpaceDN/>
              <w:bidi w:val="0"/>
              <w:adjustRightInd/>
              <w:snapToGrid/>
              <w:spacing w:before="0" w:beforeAutospacing="0" w:after="0" w:afterAutospacing="0" w:line="540" w:lineRule="exact"/>
              <w:jc w:val="center"/>
              <w:textAlignment w:val="auto"/>
              <w:rPr>
                <w:rFonts w:hint="eastAsia" w:ascii="Times New Roman" w:hAnsi="Times New Roman" w:eastAsia="方正黑体简体" w:cs="Times New Roman"/>
                <w:b w:val="0"/>
                <w:bCs w:val="0"/>
                <w:color w:val="000000"/>
                <w:lang w:val="en-US" w:eastAsia="zh-CN"/>
              </w:rPr>
            </w:pPr>
            <w:r>
              <w:rPr>
                <w:rFonts w:hint="eastAsia" w:ascii="Times New Roman" w:hAnsi="Times New Roman" w:eastAsia="方正黑体简体" w:cs="Times New Roman"/>
                <w:b w:val="0"/>
                <w:bCs w:val="0"/>
                <w:color w:val="000000"/>
                <w:lang w:val="en-US" w:eastAsia="zh-CN"/>
              </w:rPr>
              <w:t>0</w:t>
            </w:r>
          </w:p>
        </w:tc>
      </w:tr>
    </w:tbl>
    <w:p w14:paraId="4882C1E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Times New Roman"/>
          <w:bCs/>
          <w:color w:val="000000"/>
          <w:sz w:val="32"/>
          <w:szCs w:val="32"/>
        </w:rPr>
      </w:pPr>
      <w:r>
        <w:rPr>
          <w:rFonts w:hint="eastAsia" w:ascii="黑体" w:hAnsi="黑体" w:eastAsia="黑体" w:cs="Times New Roman"/>
          <w:bCs/>
          <w:color w:val="000000"/>
          <w:sz w:val="32"/>
          <w:szCs w:val="32"/>
        </w:rPr>
        <w:t>五、存在的主要问题及改进情况</w:t>
      </w:r>
    </w:p>
    <w:p w14:paraId="777C5C0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32"/>
          <w:sz w:val="32"/>
          <w:szCs w:val="32"/>
          <w:lang w:val="en-US" w:eastAsia="zh-CN" w:bidi="ar"/>
        </w:rPr>
      </w:pPr>
      <w:r>
        <w:rPr>
          <w:rFonts w:hint="eastAsia" w:ascii="Times New Roman" w:hAnsi="Times New Roman" w:eastAsia="仿宋_GB2312" w:cs="Times New Roman"/>
          <w:color w:val="000000"/>
          <w:kern w:val="32"/>
          <w:sz w:val="32"/>
          <w:szCs w:val="32"/>
          <w:lang w:val="en-US" w:eastAsia="zh-CN" w:bidi="ar"/>
        </w:rPr>
        <w:t>我镇</w:t>
      </w:r>
      <w:r>
        <w:rPr>
          <w:rFonts w:hint="default" w:ascii="Times New Roman" w:hAnsi="Times New Roman" w:eastAsia="仿宋_GB2312" w:cs="Times New Roman"/>
          <w:color w:val="000000"/>
          <w:kern w:val="32"/>
          <w:sz w:val="32"/>
          <w:szCs w:val="32"/>
          <w:lang w:val="en-US" w:eastAsia="zh-CN" w:bidi="ar"/>
        </w:rPr>
        <w:t>信息公开工作在服务群众，服务社会等方面取得了明显的进步，但还存在一定的不足，一是信息公开时效性需进一步增强，部分政府信息未能做到实时更新导致群众获取信息存在滞后性。二是公开内容全面性需进一步提升，部分重点领域信息公开力度不够。三是信息公开形式需要进一步优化，信息公开的渠道有限且解读载体单一</w:t>
      </w:r>
      <w:r>
        <w:rPr>
          <w:rFonts w:hint="eastAsia" w:ascii="Times New Roman" w:hAnsi="Times New Roman" w:eastAsia="仿宋_GB2312" w:cs="Times New Roman"/>
          <w:color w:val="000000"/>
          <w:kern w:val="32"/>
          <w:sz w:val="32"/>
          <w:szCs w:val="32"/>
          <w:lang w:val="en-US" w:eastAsia="zh-CN" w:bidi="ar"/>
        </w:rPr>
        <w:t>。</w:t>
      </w:r>
      <w:r>
        <w:rPr>
          <w:rFonts w:hint="default" w:ascii="Times New Roman" w:hAnsi="Times New Roman" w:eastAsia="仿宋_GB2312" w:cs="Times New Roman"/>
          <w:color w:val="000000"/>
          <w:kern w:val="32"/>
          <w:sz w:val="32"/>
          <w:szCs w:val="32"/>
          <w:lang w:val="en-US" w:eastAsia="zh-CN" w:bidi="ar"/>
        </w:rPr>
        <w:t>202</w:t>
      </w:r>
      <w:r>
        <w:rPr>
          <w:rFonts w:hint="eastAsia" w:ascii="Times New Roman" w:hAnsi="Times New Roman" w:eastAsia="仿宋_GB2312" w:cs="Times New Roman"/>
          <w:color w:val="000000"/>
          <w:kern w:val="32"/>
          <w:sz w:val="32"/>
          <w:szCs w:val="32"/>
          <w:lang w:val="en-US" w:eastAsia="zh-CN" w:bidi="ar"/>
        </w:rPr>
        <w:t>5</w:t>
      </w:r>
      <w:r>
        <w:rPr>
          <w:rFonts w:hint="default" w:ascii="Times New Roman" w:hAnsi="Times New Roman" w:eastAsia="仿宋_GB2312" w:cs="Times New Roman"/>
          <w:color w:val="000000"/>
          <w:kern w:val="32"/>
          <w:sz w:val="32"/>
          <w:szCs w:val="32"/>
          <w:lang w:val="en-US" w:eastAsia="zh-CN" w:bidi="ar"/>
        </w:rPr>
        <w:t>年，我们将从以下方面进行改进：</w:t>
      </w:r>
    </w:p>
    <w:p w14:paraId="5C53C9F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32"/>
          <w:sz w:val="32"/>
          <w:szCs w:val="32"/>
          <w:lang w:val="en-US" w:eastAsia="zh-CN" w:bidi="ar"/>
        </w:rPr>
      </w:pPr>
      <w:r>
        <w:rPr>
          <w:rFonts w:hint="default" w:ascii="Times New Roman" w:hAnsi="Times New Roman" w:eastAsia="仿宋_GB2312" w:cs="Times New Roman"/>
          <w:color w:val="000000"/>
          <w:kern w:val="32"/>
          <w:sz w:val="32"/>
          <w:szCs w:val="32"/>
          <w:lang w:val="en-US" w:eastAsia="zh-CN" w:bidi="ar"/>
        </w:rPr>
        <w:t>一是加强政务公开工作培训教育，提升工作人员政务信息主动公开意识</w:t>
      </w:r>
      <w:r>
        <w:rPr>
          <w:rFonts w:hint="eastAsia" w:ascii="Times New Roman" w:hAnsi="Times New Roman" w:eastAsia="仿宋_GB2312" w:cs="Times New Roman"/>
          <w:color w:val="000000"/>
          <w:kern w:val="32"/>
          <w:sz w:val="32"/>
          <w:szCs w:val="32"/>
          <w:lang w:val="en-US" w:eastAsia="zh-CN" w:bidi="ar"/>
        </w:rPr>
        <w:t>，</w:t>
      </w:r>
      <w:r>
        <w:rPr>
          <w:rFonts w:hint="default" w:ascii="Times New Roman" w:hAnsi="Times New Roman" w:eastAsia="仿宋_GB2312" w:cs="Times New Roman"/>
          <w:color w:val="000000"/>
          <w:kern w:val="32"/>
          <w:sz w:val="32"/>
          <w:szCs w:val="32"/>
          <w:lang w:val="en-US" w:eastAsia="zh-CN" w:bidi="ar"/>
        </w:rPr>
        <w:t>提高信息编写能力，同时进一步</w:t>
      </w:r>
      <w:r>
        <w:rPr>
          <w:rFonts w:hint="eastAsia" w:ascii="Times New Roman" w:hAnsi="Times New Roman" w:eastAsia="仿宋_GB2312" w:cs="Times New Roman"/>
          <w:color w:val="000000"/>
          <w:kern w:val="32"/>
          <w:sz w:val="32"/>
          <w:szCs w:val="32"/>
          <w:lang w:val="en-US" w:eastAsia="zh-CN" w:bidi="ar"/>
        </w:rPr>
        <w:t>收集</w:t>
      </w:r>
      <w:r>
        <w:rPr>
          <w:rFonts w:hint="default" w:ascii="Times New Roman" w:hAnsi="Times New Roman" w:eastAsia="仿宋_GB2312" w:cs="Times New Roman"/>
          <w:color w:val="000000"/>
          <w:kern w:val="32"/>
          <w:sz w:val="32"/>
          <w:szCs w:val="32"/>
          <w:lang w:val="en-US" w:eastAsia="zh-CN" w:bidi="ar"/>
        </w:rPr>
        <w:t>梳理单位</w:t>
      </w:r>
      <w:r>
        <w:rPr>
          <w:rFonts w:hint="eastAsia" w:ascii="Times New Roman" w:hAnsi="Times New Roman" w:eastAsia="仿宋_GB2312" w:cs="Times New Roman"/>
          <w:color w:val="000000"/>
          <w:kern w:val="32"/>
          <w:sz w:val="32"/>
          <w:szCs w:val="32"/>
          <w:lang w:val="en-US" w:eastAsia="zh-CN" w:bidi="ar"/>
        </w:rPr>
        <w:t>各部门</w:t>
      </w:r>
      <w:r>
        <w:rPr>
          <w:rFonts w:hint="default" w:ascii="Times New Roman" w:hAnsi="Times New Roman" w:eastAsia="仿宋_GB2312" w:cs="Times New Roman"/>
          <w:color w:val="000000"/>
          <w:kern w:val="32"/>
          <w:sz w:val="32"/>
          <w:szCs w:val="32"/>
          <w:lang w:val="en-US" w:eastAsia="zh-CN" w:bidi="ar"/>
        </w:rPr>
        <w:t>所掌握的政府信息</w:t>
      </w:r>
      <w:r>
        <w:rPr>
          <w:rFonts w:hint="eastAsia" w:ascii="Times New Roman" w:hAnsi="Times New Roman" w:eastAsia="仿宋_GB2312" w:cs="Times New Roman"/>
          <w:color w:val="000000"/>
          <w:kern w:val="32"/>
          <w:sz w:val="32"/>
          <w:szCs w:val="32"/>
          <w:lang w:val="en-US" w:eastAsia="zh-CN" w:bidi="ar"/>
        </w:rPr>
        <w:t>，</w:t>
      </w:r>
      <w:r>
        <w:rPr>
          <w:rFonts w:hint="default" w:ascii="Times New Roman" w:hAnsi="Times New Roman" w:eastAsia="仿宋_GB2312" w:cs="Times New Roman"/>
          <w:color w:val="000000"/>
          <w:kern w:val="32"/>
          <w:sz w:val="32"/>
          <w:szCs w:val="32"/>
          <w:lang w:val="en-US" w:eastAsia="zh-CN" w:bidi="ar"/>
        </w:rPr>
        <w:t>增强信息发布的时效性。</w:t>
      </w:r>
    </w:p>
    <w:p w14:paraId="30F1F2D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32"/>
          <w:sz w:val="32"/>
          <w:szCs w:val="32"/>
          <w:lang w:val="en-US" w:eastAsia="zh-CN" w:bidi="ar"/>
        </w:rPr>
      </w:pPr>
      <w:r>
        <w:rPr>
          <w:rFonts w:hint="default" w:ascii="Times New Roman" w:hAnsi="Times New Roman" w:eastAsia="仿宋_GB2312" w:cs="Times New Roman"/>
          <w:color w:val="000000"/>
          <w:kern w:val="32"/>
          <w:sz w:val="32"/>
          <w:szCs w:val="32"/>
          <w:lang w:val="en-US" w:eastAsia="zh-CN" w:bidi="ar"/>
        </w:rPr>
        <w:t>二是加大信息的收集和公布力度，提高信息收集和筛选水平，不断充实公开信息的内容，坚持“公开为常态，不公开为例外”的原则，</w:t>
      </w:r>
      <w:r>
        <w:rPr>
          <w:rFonts w:hint="eastAsia" w:ascii="Times New Roman" w:hAnsi="Times New Roman" w:eastAsia="仿宋_GB2312" w:cs="Times New Roman"/>
          <w:color w:val="000000"/>
          <w:kern w:val="32"/>
          <w:sz w:val="32"/>
          <w:szCs w:val="32"/>
          <w:lang w:val="en-US" w:eastAsia="zh-CN" w:bidi="ar"/>
        </w:rPr>
        <w:t>扩</w:t>
      </w:r>
      <w:r>
        <w:rPr>
          <w:rFonts w:hint="default" w:ascii="Times New Roman" w:hAnsi="Times New Roman" w:eastAsia="仿宋_GB2312" w:cs="Times New Roman"/>
          <w:color w:val="000000"/>
          <w:kern w:val="32"/>
          <w:sz w:val="32"/>
          <w:szCs w:val="32"/>
          <w:lang w:val="en-US" w:eastAsia="zh-CN" w:bidi="ar"/>
        </w:rPr>
        <w:t>大政务公开覆盖面。</w:t>
      </w:r>
    </w:p>
    <w:p w14:paraId="1CBE14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32"/>
          <w:sz w:val="32"/>
          <w:szCs w:val="32"/>
          <w:lang w:val="en-US" w:eastAsia="zh-CN" w:bidi="ar"/>
        </w:rPr>
      </w:pPr>
      <w:r>
        <w:rPr>
          <w:rFonts w:hint="default" w:ascii="Times New Roman" w:hAnsi="Times New Roman" w:eastAsia="仿宋_GB2312" w:cs="Times New Roman"/>
          <w:color w:val="000000"/>
          <w:kern w:val="32"/>
          <w:sz w:val="32"/>
          <w:szCs w:val="32"/>
          <w:lang w:val="en-US" w:eastAsia="zh-CN" w:bidi="ar"/>
        </w:rPr>
        <w:t>三是统筹运用</w:t>
      </w:r>
      <w:r>
        <w:rPr>
          <w:rFonts w:hint="eastAsia" w:ascii="Times New Roman" w:hAnsi="Times New Roman" w:eastAsia="仿宋_GB2312" w:cs="Times New Roman"/>
          <w:color w:val="000000"/>
          <w:kern w:val="32"/>
          <w:sz w:val="32"/>
          <w:szCs w:val="32"/>
          <w:lang w:val="en-US" w:eastAsia="zh-CN" w:bidi="ar"/>
        </w:rPr>
        <w:t>工作群</w:t>
      </w:r>
      <w:r>
        <w:rPr>
          <w:rFonts w:hint="default" w:ascii="Times New Roman" w:hAnsi="Times New Roman" w:eastAsia="仿宋_GB2312" w:cs="Times New Roman"/>
          <w:color w:val="000000"/>
          <w:kern w:val="32"/>
          <w:sz w:val="32"/>
          <w:szCs w:val="32"/>
          <w:lang w:val="en-US" w:eastAsia="zh-CN" w:bidi="ar"/>
        </w:rPr>
        <w:t>、</w:t>
      </w:r>
      <w:r>
        <w:rPr>
          <w:rFonts w:hint="eastAsia" w:ascii="Times New Roman" w:hAnsi="Times New Roman" w:eastAsia="仿宋_GB2312" w:cs="Times New Roman"/>
          <w:color w:val="000000"/>
          <w:kern w:val="32"/>
          <w:sz w:val="32"/>
          <w:szCs w:val="32"/>
          <w:lang w:val="en-US" w:eastAsia="zh-CN" w:bidi="ar"/>
        </w:rPr>
        <w:t>公众号</w:t>
      </w:r>
      <w:r>
        <w:rPr>
          <w:rFonts w:hint="default" w:ascii="Times New Roman" w:hAnsi="Times New Roman" w:eastAsia="仿宋_GB2312" w:cs="Times New Roman"/>
          <w:color w:val="000000"/>
          <w:kern w:val="32"/>
          <w:sz w:val="32"/>
          <w:szCs w:val="32"/>
          <w:lang w:val="en-US" w:eastAsia="zh-CN" w:bidi="ar"/>
        </w:rPr>
        <w:t>等各类信息公开平台和渠道作用，创新发布图表、动画、视频等多元解读载体，提高信息的可读性和传播力。</w:t>
      </w:r>
    </w:p>
    <w:p w14:paraId="51F9AB5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Times New Roman"/>
          <w:bCs/>
          <w:color w:val="000000"/>
          <w:sz w:val="32"/>
          <w:szCs w:val="32"/>
        </w:rPr>
      </w:pPr>
      <w:r>
        <w:rPr>
          <w:rFonts w:hint="eastAsia" w:ascii="黑体" w:hAnsi="黑体" w:eastAsia="黑体" w:cs="Times New Roman"/>
          <w:bCs/>
          <w:color w:val="000000"/>
          <w:sz w:val="32"/>
          <w:szCs w:val="32"/>
        </w:rPr>
        <w:t>六、其他需要报告的事项</w:t>
      </w:r>
    </w:p>
    <w:p w14:paraId="0D582AE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我镇本年度无收取信息处理费。   </w:t>
      </w:r>
    </w:p>
    <w:p w14:paraId="58E684F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w:t>
      </w:r>
    </w:p>
    <w:p w14:paraId="793BE69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康美镇人民政府</w:t>
      </w:r>
    </w:p>
    <w:p w14:paraId="36EF4ED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年1月</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lang w:val="en-US" w:eastAsia="zh-CN"/>
        </w:rPr>
        <w:t>日</w:t>
      </w:r>
    </w:p>
    <w:p w14:paraId="68AB4C6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（此件主动公开）</w:t>
      </w:r>
    </w:p>
    <w:p w14:paraId="4D54713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3E0E585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009CBDC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58BD781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0AF4D6B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5F1F05D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49F0558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257E0C4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31AFFF5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p>
    <w:p w14:paraId="62D4A04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color w:val="000000"/>
          <w:kern w:val="0"/>
          <w:sz w:val="32"/>
          <w:szCs w:val="32"/>
          <w:lang w:eastAsia="zh-CN"/>
        </w:rPr>
      </w:pPr>
    </w:p>
    <w:p w14:paraId="5E487401">
      <w:pPr>
        <w:pStyle w:val="7"/>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280" w:firstLineChars="100"/>
        <w:jc w:val="both"/>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康美镇党政综合办公室                    2025年1月10日印发</w:t>
      </w:r>
    </w:p>
    <w:sectPr>
      <w:footerReference r:id="rId3" w:type="default"/>
      <w:pgSz w:w="11906" w:h="16838"/>
      <w:pgMar w:top="1701" w:right="1474"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ECA28D-6248-40BF-98D6-7D2B4F268C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53503D8C-2E95-41BA-8121-B346D98B5BA0}"/>
  </w:font>
  <w:font w:name="仿宋_GB2312">
    <w:panose1 w:val="02010609030101010101"/>
    <w:charset w:val="86"/>
    <w:family w:val="auto"/>
    <w:pitch w:val="default"/>
    <w:sig w:usb0="00000001" w:usb1="080E0000" w:usb2="00000000" w:usb3="00000000" w:csb0="00040000" w:csb1="00000000"/>
    <w:embedRegular r:id="rId3" w:fontKey="{941C44B5-978C-43A1-AF8C-F99FF5237F11}"/>
  </w:font>
  <w:font w:name="方正楷体_GBK">
    <w:panose1 w:val="03000509000000000000"/>
    <w:charset w:val="86"/>
    <w:family w:val="auto"/>
    <w:pitch w:val="default"/>
    <w:sig w:usb0="00000001" w:usb1="080E0000" w:usb2="00000000" w:usb3="00000000" w:csb0="00040000" w:csb1="00000000"/>
    <w:embedRegular r:id="rId4" w:fontKey="{B869A5A8-00A8-4A1D-9925-E8F9EF5F7A85}"/>
  </w:font>
  <w:font w:name="方正黑体简体">
    <w:panose1 w:val="03000509000000000000"/>
    <w:charset w:val="86"/>
    <w:family w:val="auto"/>
    <w:pitch w:val="default"/>
    <w:sig w:usb0="00000001" w:usb1="080E0000" w:usb2="00000000" w:usb3="00000000" w:csb0="00040000" w:csb1="00000000"/>
    <w:embedRegular r:id="rId5" w:fontKey="{28AE2490-0859-4AD9-A4F7-26E905255E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765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0E1D"/>
    <w:multiLevelType w:val="singleLevel"/>
    <w:tmpl w:val="5A350E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zhjNDQzMDAyNDkxOTdkZTgzNTg0YmE3M2QyOTcifQ=="/>
    <w:docVar w:name="KSO_WPS_MARK_KEY" w:val="f9a7428f-0ae5-4469-9bef-c59542d866a8"/>
  </w:docVars>
  <w:rsids>
    <w:rsidRoot w:val="1A0F42A8"/>
    <w:rsid w:val="03302124"/>
    <w:rsid w:val="089554A5"/>
    <w:rsid w:val="0BCD7393"/>
    <w:rsid w:val="1182211B"/>
    <w:rsid w:val="13893279"/>
    <w:rsid w:val="13D12EE6"/>
    <w:rsid w:val="14983A03"/>
    <w:rsid w:val="15105591"/>
    <w:rsid w:val="16F818C7"/>
    <w:rsid w:val="199D6F0B"/>
    <w:rsid w:val="1A0F42A8"/>
    <w:rsid w:val="1A226249"/>
    <w:rsid w:val="1AEF6A73"/>
    <w:rsid w:val="1CB2349F"/>
    <w:rsid w:val="20012012"/>
    <w:rsid w:val="20B46FF7"/>
    <w:rsid w:val="243E0123"/>
    <w:rsid w:val="26566332"/>
    <w:rsid w:val="27235AF3"/>
    <w:rsid w:val="29A44051"/>
    <w:rsid w:val="2AFC661B"/>
    <w:rsid w:val="2B62521D"/>
    <w:rsid w:val="30361B3A"/>
    <w:rsid w:val="306230E0"/>
    <w:rsid w:val="32C37B36"/>
    <w:rsid w:val="351526BB"/>
    <w:rsid w:val="3578662F"/>
    <w:rsid w:val="35884FA0"/>
    <w:rsid w:val="37B05EB6"/>
    <w:rsid w:val="382723F9"/>
    <w:rsid w:val="3F6727CC"/>
    <w:rsid w:val="40275AB8"/>
    <w:rsid w:val="42C121F4"/>
    <w:rsid w:val="46753001"/>
    <w:rsid w:val="4AC23AFE"/>
    <w:rsid w:val="4BBF62D0"/>
    <w:rsid w:val="503252D0"/>
    <w:rsid w:val="509D2A2A"/>
    <w:rsid w:val="531773ED"/>
    <w:rsid w:val="564A6705"/>
    <w:rsid w:val="56542F11"/>
    <w:rsid w:val="594674B7"/>
    <w:rsid w:val="59AE7F42"/>
    <w:rsid w:val="5D8071B6"/>
    <w:rsid w:val="5D8D2FA6"/>
    <w:rsid w:val="631657EC"/>
    <w:rsid w:val="663E6BA1"/>
    <w:rsid w:val="699A724A"/>
    <w:rsid w:val="6C6F6414"/>
    <w:rsid w:val="6F1E7B62"/>
    <w:rsid w:val="72D86F42"/>
    <w:rsid w:val="73C53F58"/>
    <w:rsid w:val="78E8716B"/>
    <w:rsid w:val="7A715A2E"/>
    <w:rsid w:val="7C50614B"/>
    <w:rsid w:val="7EC0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仿宋"/>
      <w:sz w:val="32"/>
    </w:rPr>
  </w:style>
  <w:style w:type="paragraph" w:styleId="3">
    <w:name w:val="Body Text Indent"/>
    <w:basedOn w:val="1"/>
    <w:next w:val="2"/>
    <w:qFormat/>
    <w:uiPriority w:val="0"/>
    <w:pPr>
      <w:spacing w:after="120" w:afterLines="0"/>
      <w:ind w:left="200" w:leftChars="200"/>
    </w:pPr>
  </w:style>
  <w:style w:type="paragraph" w:styleId="4">
    <w:name w:val="Balloon Text"/>
    <w:basedOn w:val="1"/>
    <w:next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ind w:firstLine="420" w:firstLineChars="200"/>
    </w:pPr>
  </w:style>
  <w:style w:type="paragraph" w:customStyle="1" w:styleId="11">
    <w:name w:val="正文文字"/>
    <w:basedOn w:val="1"/>
    <w:next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2590</Words>
  <Characters>2722</Characters>
  <Lines>0</Lines>
  <Paragraphs>0</Paragraphs>
  <TotalTime>26</TotalTime>
  <ScaleCrop>false</ScaleCrop>
  <LinksUpToDate>false</LinksUpToDate>
  <CharactersWithSpaces>2804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2021-12-23T06:55:00Z</dcterms:created>
  <dc:creator>WPS_1539478079</dc:creator>
  <cp:lastModifiedBy>¾</cp:lastModifiedBy>
  <cp:lastPrinted>2025-01-10T09:09:00Z</cp:lastPrinted>
  <dcterms:modified xsi:type="dcterms:W3CDTF">2025-02-05T07:19:57Z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972F2C4AD7EF483AB3D86F9A91FBBB3A_13</vt:lpwstr>
  </property>
  <property fmtid="{D5CDD505-2E9C-101B-9397-08002B2CF9AE}" pid="4" name="KSOTemplateDocerSaveRecord">
    <vt:lpwstr>eyJoZGlkIjoiNGNjMzhjNDQzMDAyNDkxOTdkZTgzNTg0YmE3M2QyOTciLCJ1c2VySWQiOiI2MTYxMzQyMDYifQ==</vt:lpwstr>
  </property>
</Properties>
</file>