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仿宋_GB2312"/>
          <w:sz w:val="32"/>
          <w:szCs w:val="32"/>
        </w:rPr>
      </w:pPr>
    </w:p>
    <w:p>
      <w:pPr>
        <w:spacing w:line="560" w:lineRule="exact"/>
        <w:jc w:val="center"/>
        <w:rPr>
          <w:rFonts w:ascii="Times New Roman" w:hAnsi="Times New Roman" w:eastAsia="仿宋_GB2312"/>
          <w:sz w:val="32"/>
          <w:szCs w:val="32"/>
        </w:rPr>
      </w:pPr>
    </w:p>
    <w:p>
      <w:pPr>
        <w:spacing w:line="560" w:lineRule="exact"/>
        <w:jc w:val="center"/>
        <w:rPr>
          <w:rFonts w:ascii="Times New Roman" w:hAnsi="Times New Roman" w:eastAsia="仿宋_GB2312"/>
          <w:sz w:val="32"/>
          <w:szCs w:val="32"/>
        </w:rPr>
      </w:pPr>
    </w:p>
    <w:p>
      <w:pPr>
        <w:spacing w:line="560" w:lineRule="exact"/>
        <w:jc w:val="center"/>
        <w:rPr>
          <w:rFonts w:ascii="Times New Roman" w:hAnsi="Times New Roman" w:eastAsia="仿宋_GB2312"/>
          <w:sz w:val="32"/>
          <w:szCs w:val="32"/>
        </w:rPr>
      </w:pPr>
    </w:p>
    <w:p>
      <w:pPr>
        <w:spacing w:line="560" w:lineRule="exact"/>
        <w:jc w:val="center"/>
        <w:rPr>
          <w:rFonts w:ascii="Times New Roman" w:hAnsi="Times New Roman" w:eastAsia="仿宋_GB2312"/>
          <w:sz w:val="32"/>
          <w:szCs w:val="32"/>
        </w:rPr>
      </w:pPr>
    </w:p>
    <w:p>
      <w:pPr>
        <w:spacing w:line="560" w:lineRule="exact"/>
        <w:jc w:val="center"/>
        <w:rPr>
          <w:rFonts w:ascii="Times New Roman" w:hAnsi="Times New Roman" w:eastAsia="仿宋_GB2312"/>
          <w:sz w:val="32"/>
          <w:szCs w:val="32"/>
        </w:rPr>
      </w:pPr>
      <w:r>
        <w:rPr>
          <w:rFonts w:ascii="Times New Roman" w:hAnsi="Times New Roman" w:eastAsia="仿宋_GB2312"/>
          <w:sz w:val="32"/>
          <w:szCs w:val="32"/>
        </w:rPr>
        <w:t>南洪政〔202</w:t>
      </w: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1</w:t>
      </w:r>
      <w:r>
        <w:rPr>
          <w:rFonts w:ascii="Times New Roman" w:hAnsi="Times New Roman" w:eastAsia="仿宋_GB2312"/>
          <w:sz w:val="32"/>
          <w:szCs w:val="32"/>
        </w:rPr>
        <w:t>号</w:t>
      </w:r>
    </w:p>
    <w:p>
      <w:pPr>
        <w:spacing w:line="560" w:lineRule="exact"/>
        <w:rPr>
          <w:rFonts w:ascii="Times New Roman" w:hAnsi="Times New Roman" w:eastAsia="仿宋"/>
          <w:sz w:val="32"/>
          <w:szCs w:val="32"/>
        </w:rPr>
      </w:pPr>
    </w:p>
    <w:p>
      <w:pPr>
        <w:spacing w:line="560" w:lineRule="exact"/>
        <w:rPr>
          <w:rFonts w:ascii="Times New Roman" w:hAnsi="Times New Roman" w:eastAsia="仿宋"/>
          <w:sz w:val="32"/>
          <w:szCs w:val="32"/>
        </w:rPr>
      </w:pPr>
    </w:p>
    <w:p>
      <w:pPr>
        <w:pStyle w:val="15"/>
        <w:spacing w:line="520" w:lineRule="exact"/>
        <w:ind w:firstLine="0" w:firstLineChars="0"/>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南安市洪濑镇人民政府202</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年政府信息</w:t>
      </w:r>
    </w:p>
    <w:p>
      <w:pPr>
        <w:pStyle w:val="15"/>
        <w:spacing w:line="520" w:lineRule="exact"/>
        <w:ind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公开工作年度报告</w:t>
      </w:r>
    </w:p>
    <w:p>
      <w:pPr>
        <w:pStyle w:val="15"/>
        <w:spacing w:line="520" w:lineRule="exact"/>
        <w:ind w:firstLine="0" w:firstLineChars="0"/>
        <w:jc w:val="center"/>
        <w:rPr>
          <w:rFonts w:ascii="Times New Roman" w:hAnsi="Times New Roman" w:eastAsia="方正小标宋简体" w:cs="Times New Roman"/>
          <w:sz w:val="44"/>
          <w:szCs w:val="44"/>
        </w:rPr>
      </w:pP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根据《中华人民共和国政府信息公开条例》（以下简称《条例》）规定和《南安市人民政府办公室关于做好政务公开各项工作的通知》有关要求，现将 202</w:t>
      </w:r>
      <w:r>
        <w:rPr>
          <w:rFonts w:hint="eastAsia" w:ascii="Times New Roman" w:hAnsi="Times New Roman" w:eastAsia="仿宋_GB2312"/>
          <w:sz w:val="32"/>
          <w:szCs w:val="32"/>
        </w:rPr>
        <w:t>2</w:t>
      </w:r>
      <w:r>
        <w:rPr>
          <w:rFonts w:ascii="Times New Roman" w:hAnsi="Times New Roman" w:eastAsia="仿宋_GB2312"/>
          <w:sz w:val="32"/>
          <w:szCs w:val="32"/>
        </w:rPr>
        <w:t>年度洪濑镇政府信息公开工作报告如下。</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年报由总体情况，主动公开政府信息情况，收到和处理政府信息公开申请情况，政府信息公开行政复议、行政诉讼情况，存在的主要问题及改进情况，需要说明的其他事项与附表六部分组成。本年报中所列数据的统计期限自 202</w:t>
      </w:r>
      <w:r>
        <w:rPr>
          <w:rFonts w:hint="eastAsia" w:ascii="Times New Roman" w:hAnsi="Times New Roman" w:eastAsia="仿宋_GB2312"/>
          <w:sz w:val="32"/>
          <w:szCs w:val="32"/>
        </w:rPr>
        <w:t>2</w:t>
      </w:r>
      <w:r>
        <w:rPr>
          <w:rFonts w:ascii="Times New Roman" w:hAnsi="Times New Roman" w:eastAsia="仿宋_GB2312"/>
          <w:sz w:val="32"/>
          <w:szCs w:val="32"/>
        </w:rPr>
        <w:t xml:space="preserve"> 年 1 月 1 日起至 202</w:t>
      </w:r>
      <w:r>
        <w:rPr>
          <w:rFonts w:hint="eastAsia" w:ascii="Times New Roman" w:hAnsi="Times New Roman" w:eastAsia="仿宋_GB2312"/>
          <w:sz w:val="32"/>
          <w:szCs w:val="32"/>
        </w:rPr>
        <w:t>2</w:t>
      </w:r>
      <w:r>
        <w:rPr>
          <w:rFonts w:ascii="Times New Roman" w:hAnsi="Times New Roman" w:eastAsia="仿宋_GB2312"/>
          <w:sz w:val="32"/>
          <w:szCs w:val="32"/>
        </w:rPr>
        <w:t xml:space="preserve"> 年 12 月 31 日止。本年报的电子版可在南安市人民政府门户网站（http:// www.nanan.gov.cn）下载。如对本年报有任何疑问，可与洪濑镇人民政府信息公开领导小组办公室联系（联系地址：洪濑镇党政办公室，邮编362331，联系电话：86682201，电子邮箱：</w:t>
      </w:r>
      <w:r>
        <w:fldChar w:fldCharType="begin"/>
      </w:r>
      <w:r>
        <w:instrText xml:space="preserve"> HYPERLINK "mailto:hlz.201@163.com" </w:instrText>
      </w:r>
      <w:r>
        <w:fldChar w:fldCharType="separate"/>
      </w:r>
      <w:r>
        <w:rPr>
          <w:rFonts w:ascii="Times New Roman" w:hAnsi="Times New Roman" w:eastAsia="仿宋_GB2312"/>
          <w:sz w:val="32"/>
          <w:szCs w:val="32"/>
        </w:rPr>
        <w:t>hlz.201@163.com</w:t>
      </w:r>
      <w:r>
        <w:rPr>
          <w:rFonts w:ascii="Times New Roman" w:hAnsi="Times New Roman" w:eastAsia="仿宋_GB2312"/>
          <w:sz w:val="32"/>
          <w:szCs w:val="32"/>
        </w:rPr>
        <w:fldChar w:fldCharType="end"/>
      </w:r>
      <w:r>
        <w:rPr>
          <w:rFonts w:ascii="Times New Roman" w:hAnsi="Times New Roman" w:eastAsia="仿宋_GB2312"/>
          <w:sz w:val="32"/>
          <w:szCs w:val="32"/>
        </w:rPr>
        <w:t>）。</w:t>
      </w:r>
    </w:p>
    <w:p>
      <w:pPr>
        <w:spacing w:line="52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一、总体情况</w:t>
      </w:r>
    </w:p>
    <w:p>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202</w:t>
      </w:r>
      <w:r>
        <w:rPr>
          <w:rFonts w:hint="eastAsia" w:ascii="Times New Roman" w:hAnsi="Times New Roman" w:eastAsia="仿宋_GB2312"/>
          <w:kern w:val="0"/>
          <w:sz w:val="32"/>
          <w:szCs w:val="32"/>
        </w:rPr>
        <w:t>2</w:t>
      </w:r>
      <w:r>
        <w:rPr>
          <w:rFonts w:ascii="Times New Roman" w:hAnsi="Times New Roman" w:eastAsia="仿宋_GB2312"/>
          <w:kern w:val="0"/>
          <w:sz w:val="32"/>
          <w:szCs w:val="32"/>
        </w:rPr>
        <w:t xml:space="preserve"> 年，洪濑镇人民政府政务公开工作在南安市委、市政府的正确领导下，严格按照《中华人民共和国政府信息公开条例》《福建省政府信息公开办法》的要求，</w:t>
      </w:r>
      <w:r>
        <w:rPr>
          <w:rFonts w:hint="eastAsia" w:ascii="Times New Roman" w:hAnsi="Times New Roman" w:eastAsia="仿宋_GB2312"/>
          <w:kern w:val="0"/>
          <w:sz w:val="32"/>
          <w:szCs w:val="32"/>
        </w:rPr>
        <w:t>坚持把政务公开作为推进政府政务公开职能转变，服务党和国家的中心工作，</w:t>
      </w:r>
      <w:r>
        <w:rPr>
          <w:rFonts w:ascii="Times New Roman" w:hAnsi="Times New Roman" w:eastAsia="仿宋_GB2312"/>
          <w:kern w:val="0"/>
          <w:sz w:val="32"/>
          <w:szCs w:val="32"/>
        </w:rPr>
        <w:t>不断完善政府信息公开相关制度，深化重点领域信息公开，营造政务公开浓厚氛围，政务公开不断向基层延伸，</w:t>
      </w:r>
      <w:r>
        <w:rPr>
          <w:rFonts w:hint="eastAsia" w:ascii="Times New Roman" w:hAnsi="Times New Roman" w:eastAsia="仿宋_GB2312"/>
          <w:kern w:val="0"/>
          <w:sz w:val="32"/>
          <w:szCs w:val="32"/>
        </w:rPr>
        <w:t>切实提高行政工作透明制度，以公开促公平，以公开</w:t>
      </w:r>
      <w:r>
        <w:rPr>
          <w:rFonts w:hint="eastAsia" w:ascii="Times New Roman" w:hAnsi="Times New Roman" w:eastAsia="仿宋_GB2312"/>
          <w:kern w:val="0"/>
          <w:sz w:val="32"/>
          <w:szCs w:val="32"/>
          <w:lang w:eastAsia="zh-CN"/>
        </w:rPr>
        <w:t>树</w:t>
      </w:r>
      <w:r>
        <w:rPr>
          <w:rFonts w:hint="eastAsia" w:ascii="Times New Roman" w:hAnsi="Times New Roman" w:eastAsia="仿宋_GB2312"/>
          <w:kern w:val="0"/>
          <w:sz w:val="32"/>
          <w:szCs w:val="32"/>
        </w:rPr>
        <w:t>形象，以公开赢民心</w:t>
      </w:r>
      <w:r>
        <w:rPr>
          <w:rFonts w:ascii="Times New Roman" w:hAnsi="Times New Roman" w:eastAsia="仿宋_GB2312"/>
          <w:kern w:val="0"/>
          <w:sz w:val="32"/>
          <w:szCs w:val="32"/>
        </w:rPr>
        <w:t>，政务公开工作水平不断提高。截至</w:t>
      </w:r>
      <w:r>
        <w:rPr>
          <w:rFonts w:hint="eastAsia" w:ascii="Times New Roman" w:hAnsi="Times New Roman" w:eastAsia="仿宋_GB2312"/>
          <w:kern w:val="0"/>
          <w:sz w:val="32"/>
          <w:szCs w:val="32"/>
        </w:rPr>
        <w:t>2022</w:t>
      </w:r>
      <w:r>
        <w:rPr>
          <w:rFonts w:ascii="Times New Roman" w:hAnsi="Times New Roman" w:eastAsia="仿宋_GB2312"/>
          <w:kern w:val="0"/>
          <w:sz w:val="32"/>
          <w:szCs w:val="32"/>
        </w:rPr>
        <w:t>年底，全镇政府信息公开工作运行正常，信息公开平台、流程、载体、形式等方面均顺利开展。</w:t>
      </w:r>
    </w:p>
    <w:p>
      <w:pPr>
        <w:spacing w:line="520" w:lineRule="exact"/>
        <w:ind w:firstLine="643" w:firstLineChars="200"/>
        <w:rPr>
          <w:rFonts w:ascii="Times New Roman" w:hAnsi="Times New Roman" w:eastAsia="仿宋_GB2312"/>
          <w:kern w:val="0"/>
          <w:sz w:val="32"/>
          <w:szCs w:val="32"/>
        </w:rPr>
      </w:pPr>
      <w:r>
        <w:rPr>
          <w:rFonts w:ascii="Times New Roman" w:hAnsi="Times New Roman" w:eastAsia="楷体_GB2312"/>
          <w:b/>
          <w:bCs/>
          <w:kern w:val="0"/>
          <w:sz w:val="32"/>
          <w:szCs w:val="32"/>
        </w:rPr>
        <w:t>（一）主动公开情况</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截至 12 月 31 日，我镇在南安市人民政府门户网站上共主动公开政务</w:t>
      </w:r>
      <w:r>
        <w:rPr>
          <w:rFonts w:hint="eastAsia" w:ascii="Times New Roman" w:hAnsi="Times New Roman" w:eastAsia="仿宋_GB2312"/>
          <w:sz w:val="32"/>
          <w:szCs w:val="32"/>
        </w:rPr>
        <w:t>9</w:t>
      </w:r>
      <w:r>
        <w:rPr>
          <w:rFonts w:ascii="Times New Roman" w:hAnsi="Times New Roman" w:eastAsia="仿宋_GB2312"/>
          <w:sz w:val="32"/>
          <w:szCs w:val="32"/>
        </w:rPr>
        <w:t>条，全文电子化率为 100%。其中规划计划类信息</w:t>
      </w:r>
      <w:r>
        <w:rPr>
          <w:rFonts w:hint="eastAsia" w:ascii="Times New Roman" w:hAnsi="Times New Roman" w:eastAsia="仿宋_GB2312"/>
          <w:sz w:val="32"/>
          <w:szCs w:val="32"/>
        </w:rPr>
        <w:t>1</w:t>
      </w:r>
      <w:r>
        <w:rPr>
          <w:rFonts w:ascii="Times New Roman" w:hAnsi="Times New Roman" w:eastAsia="仿宋_GB2312"/>
          <w:sz w:val="32"/>
          <w:szCs w:val="32"/>
        </w:rPr>
        <w:t xml:space="preserve">条，民政扶贫就业社会保障就业信息 </w:t>
      </w:r>
      <w:r>
        <w:rPr>
          <w:rFonts w:hint="eastAsia" w:ascii="Times New Roman" w:hAnsi="Times New Roman" w:eastAsia="仿宋_GB2312"/>
          <w:sz w:val="32"/>
          <w:szCs w:val="32"/>
        </w:rPr>
        <w:t>1</w:t>
      </w:r>
      <w:r>
        <w:rPr>
          <w:rFonts w:ascii="Times New Roman" w:hAnsi="Times New Roman" w:eastAsia="仿宋_GB2312"/>
          <w:sz w:val="32"/>
          <w:szCs w:val="32"/>
        </w:rPr>
        <w:t>条，科教文体卫生类信息</w:t>
      </w:r>
      <w:r>
        <w:rPr>
          <w:rFonts w:hint="eastAsia" w:ascii="Times New Roman" w:hAnsi="Times New Roman" w:eastAsia="仿宋_GB2312"/>
          <w:sz w:val="32"/>
          <w:szCs w:val="32"/>
        </w:rPr>
        <w:t>2</w:t>
      </w:r>
      <w:r>
        <w:rPr>
          <w:rFonts w:ascii="Times New Roman" w:hAnsi="Times New Roman" w:eastAsia="仿宋_GB2312"/>
          <w:sz w:val="32"/>
          <w:szCs w:val="32"/>
        </w:rPr>
        <w:t>条，安全生产、应急管理类信息</w:t>
      </w:r>
      <w:r>
        <w:rPr>
          <w:rFonts w:hint="eastAsia" w:ascii="Times New Roman" w:hAnsi="Times New Roman" w:eastAsia="仿宋_GB2312"/>
          <w:sz w:val="32"/>
          <w:szCs w:val="32"/>
        </w:rPr>
        <w:t>2</w:t>
      </w:r>
      <w:r>
        <w:rPr>
          <w:rFonts w:ascii="Times New Roman" w:hAnsi="Times New Roman" w:eastAsia="仿宋_GB2312"/>
          <w:sz w:val="32"/>
          <w:szCs w:val="32"/>
        </w:rPr>
        <w:t>条、其他类信息</w:t>
      </w:r>
      <w:r>
        <w:rPr>
          <w:rFonts w:hint="eastAsia" w:ascii="Times New Roman" w:hAnsi="Times New Roman" w:eastAsia="仿宋_GB2312"/>
          <w:sz w:val="32"/>
          <w:szCs w:val="32"/>
        </w:rPr>
        <w:t>3</w:t>
      </w:r>
      <w:r>
        <w:rPr>
          <w:rFonts w:ascii="Times New Roman" w:hAnsi="Times New Roman" w:eastAsia="仿宋_GB2312"/>
          <w:sz w:val="32"/>
          <w:szCs w:val="32"/>
        </w:rPr>
        <w:t>条。</w:t>
      </w:r>
    </w:p>
    <w:p>
      <w:pPr>
        <w:spacing w:line="520" w:lineRule="exact"/>
        <w:ind w:firstLine="643" w:firstLineChars="200"/>
        <w:rPr>
          <w:rFonts w:ascii="Times New Roman" w:hAnsi="Times New Roman" w:eastAsia="楷体_GB2312"/>
          <w:b/>
          <w:bCs/>
          <w:kern w:val="0"/>
          <w:sz w:val="32"/>
          <w:szCs w:val="32"/>
        </w:rPr>
      </w:pPr>
      <w:r>
        <w:rPr>
          <w:rFonts w:ascii="Times New Roman" w:hAnsi="Times New Roman" w:eastAsia="楷体_GB2312"/>
          <w:b/>
          <w:bCs/>
          <w:kern w:val="0"/>
          <w:sz w:val="32"/>
          <w:szCs w:val="32"/>
        </w:rPr>
        <w:t>（二）依申请公开政府信息办理情况</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2</w:t>
      </w:r>
      <w:r>
        <w:rPr>
          <w:rFonts w:ascii="Times New Roman" w:hAnsi="Times New Roman" w:eastAsia="仿宋_GB2312"/>
          <w:sz w:val="32"/>
          <w:szCs w:val="32"/>
        </w:rPr>
        <w:t>年，我镇未受理依申请公开政府信息。</w:t>
      </w:r>
    </w:p>
    <w:p>
      <w:pPr>
        <w:spacing w:line="520" w:lineRule="exact"/>
        <w:ind w:firstLine="643" w:firstLineChars="200"/>
        <w:rPr>
          <w:rFonts w:ascii="Times New Roman" w:hAnsi="Times New Roman" w:eastAsia="楷体_GB2312"/>
          <w:b/>
          <w:bCs/>
          <w:kern w:val="0"/>
          <w:sz w:val="32"/>
          <w:szCs w:val="32"/>
        </w:rPr>
      </w:pPr>
      <w:r>
        <w:rPr>
          <w:rFonts w:ascii="Times New Roman" w:hAnsi="Times New Roman" w:eastAsia="楷体_GB2312"/>
          <w:b/>
          <w:bCs/>
          <w:kern w:val="0"/>
          <w:sz w:val="32"/>
          <w:szCs w:val="32"/>
        </w:rPr>
        <w:t>（三）政府信息管理情况</w:t>
      </w:r>
    </w:p>
    <w:p>
      <w:pPr>
        <w:spacing w:line="520" w:lineRule="exact"/>
        <w:ind w:firstLine="645"/>
        <w:rPr>
          <w:rFonts w:ascii="Times New Roman" w:hAnsi="Times New Roman" w:eastAsia="仿宋_GB2312"/>
          <w:sz w:val="32"/>
          <w:szCs w:val="32"/>
        </w:rPr>
      </w:pPr>
      <w:r>
        <w:rPr>
          <w:rFonts w:hint="eastAsia" w:ascii="Times New Roman" w:hAnsi="Times New Roman" w:eastAsia="仿宋_GB2312"/>
          <w:b/>
          <w:sz w:val="32"/>
          <w:szCs w:val="32"/>
        </w:rPr>
        <w:t>一是加强组织领导，健全工作机制。</w:t>
      </w:r>
      <w:r>
        <w:rPr>
          <w:rFonts w:hint="eastAsia" w:ascii="Times New Roman" w:hAnsi="Times New Roman" w:eastAsia="仿宋_GB2312"/>
          <w:sz w:val="32"/>
          <w:szCs w:val="32"/>
        </w:rPr>
        <w:t>洪濑镇高度重视政府信息公开工作，镇党委设立政务公开工作领导小组。落实多级审查制度，层层把关、多方协同，严格要求，并建立健全主动公开和依申请公开制度、政务公开工作监督制度等，为推动信息公开工作有序开展提供了坚强的组织与制度保证。</w:t>
      </w:r>
    </w:p>
    <w:p>
      <w:pPr>
        <w:spacing w:line="520" w:lineRule="exact"/>
        <w:ind w:firstLine="643" w:firstLineChars="200"/>
        <w:rPr>
          <w:rFonts w:ascii="Times New Roman" w:hAnsi="Times New Roman" w:eastAsia="仿宋_GB2312"/>
          <w:b/>
          <w:bCs/>
          <w:sz w:val="32"/>
          <w:szCs w:val="32"/>
        </w:rPr>
      </w:pPr>
      <w:r>
        <w:rPr>
          <w:rFonts w:hint="eastAsia" w:ascii="Times New Roman" w:hAnsi="Times New Roman" w:eastAsia="仿宋_GB2312"/>
          <w:b/>
          <w:sz w:val="32"/>
          <w:szCs w:val="32"/>
        </w:rPr>
        <w:t>二是拓宽公开渠道，提升信息质量。</w:t>
      </w:r>
      <w:r>
        <w:rPr>
          <w:rFonts w:hint="eastAsia" w:ascii="Times New Roman" w:hAnsi="Times New Roman" w:eastAsia="仿宋_GB2312"/>
          <w:sz w:val="32"/>
          <w:szCs w:val="32"/>
        </w:rPr>
        <w:t>依托于南安市政务公开网站，及时向社会公开镇政府财政收支情况、重点工作目标完成、民生工程的开展情况等其他政务信息。围绕热点舆情积极主动回应，不断提高政务公开质量，切实保障公众的知情权，增强政府工作的透明度和信息的可视化。</w:t>
      </w:r>
    </w:p>
    <w:p>
      <w:pPr>
        <w:spacing w:line="520" w:lineRule="exact"/>
        <w:ind w:firstLine="645"/>
        <w:rPr>
          <w:rFonts w:ascii="Times New Roman" w:hAnsi="Times New Roman" w:eastAsia="仿宋_GB2312"/>
          <w:sz w:val="32"/>
          <w:szCs w:val="32"/>
        </w:rPr>
      </w:pPr>
      <w:r>
        <w:rPr>
          <w:rFonts w:hint="eastAsia" w:ascii="Times New Roman" w:hAnsi="Times New Roman" w:eastAsia="仿宋_GB2312"/>
          <w:b/>
          <w:sz w:val="32"/>
          <w:szCs w:val="32"/>
        </w:rPr>
        <w:t>三是强化管理监督，落实政务公开。</w:t>
      </w:r>
      <w:r>
        <w:rPr>
          <w:rFonts w:hint="eastAsia" w:ascii="Times New Roman" w:hAnsi="Times New Roman" w:eastAsia="仿宋_GB2312"/>
          <w:sz w:val="32"/>
          <w:szCs w:val="32"/>
        </w:rPr>
        <w:t>洪濑镇不断强化栏目信息发布管理，对照事前监测系统，对已公布的信息定期复查，保证信息内容符合时代规范。严把公开内容和项目关，对公开信息的审查严之又严、慎之又慎。强化监督保障，夯实政务公开工作基础，保证政务信息发布规范性、及时性和科学性。</w:t>
      </w:r>
    </w:p>
    <w:p>
      <w:pPr>
        <w:spacing w:line="520" w:lineRule="exact"/>
        <w:ind w:firstLine="643" w:firstLineChars="200"/>
        <w:rPr>
          <w:rFonts w:ascii="Times New Roman" w:hAnsi="Times New Roman" w:eastAsia="楷体_GB2312"/>
          <w:b/>
          <w:bCs/>
          <w:kern w:val="0"/>
          <w:sz w:val="32"/>
          <w:szCs w:val="32"/>
        </w:rPr>
      </w:pPr>
      <w:r>
        <w:rPr>
          <w:rFonts w:ascii="Times New Roman" w:hAnsi="Times New Roman" w:eastAsia="楷体_GB2312"/>
          <w:b/>
          <w:bCs/>
          <w:kern w:val="0"/>
          <w:sz w:val="32"/>
          <w:szCs w:val="32"/>
        </w:rPr>
        <w:t>（四）平台建设情况</w:t>
      </w:r>
    </w:p>
    <w:p>
      <w:pPr>
        <w:spacing w:line="520" w:lineRule="exact"/>
        <w:ind w:firstLine="645"/>
        <w:rPr>
          <w:rFonts w:ascii="Times New Roman" w:hAnsi="Times New Roman" w:eastAsia="仿宋_GB2312"/>
          <w:sz w:val="32"/>
          <w:szCs w:val="32"/>
        </w:rPr>
      </w:pPr>
      <w:r>
        <w:rPr>
          <w:rFonts w:ascii="Times New Roman" w:hAnsi="Times New Roman" w:eastAsia="仿宋_GB2312"/>
          <w:sz w:val="32"/>
          <w:szCs w:val="32"/>
        </w:rPr>
        <w:t>我镇根据平台建设相关要求</w:t>
      </w:r>
      <w:r>
        <w:rPr>
          <w:rFonts w:hint="eastAsia" w:ascii="Times New Roman" w:hAnsi="Times New Roman" w:eastAsia="仿宋_GB2312"/>
          <w:sz w:val="32"/>
          <w:szCs w:val="32"/>
        </w:rPr>
        <w:t>，聚焦法定主动公开内容，以专门性内容的发布和管理，全面清理并严格规范政府信息公开工作，展现政府信息公开平台的独特价值，使其成为社会公众便捷、全面获取重点政府信息的权威渠道。同时，进一步完善</w:t>
      </w:r>
      <w:r>
        <w:rPr>
          <w:rFonts w:ascii="Times New Roman" w:hAnsi="Times New Roman" w:eastAsia="仿宋_GB2312"/>
          <w:sz w:val="32"/>
          <w:szCs w:val="32"/>
        </w:rPr>
        <w:t>政府信息公开审查</w:t>
      </w:r>
      <w:r>
        <w:rPr>
          <w:rFonts w:hint="eastAsia" w:ascii="Times New Roman" w:hAnsi="Times New Roman" w:eastAsia="仿宋_GB2312"/>
          <w:sz w:val="32"/>
          <w:szCs w:val="32"/>
        </w:rPr>
        <w:t>制度，</w:t>
      </w:r>
      <w:r>
        <w:rPr>
          <w:rFonts w:ascii="Times New Roman" w:hAnsi="Times New Roman" w:eastAsia="仿宋_GB2312"/>
          <w:sz w:val="32"/>
          <w:szCs w:val="32"/>
        </w:rPr>
        <w:t>按照“先审查，后公开”“一事一审”原则及保密审查的要求，</w:t>
      </w:r>
      <w:r>
        <w:rPr>
          <w:rFonts w:hint="eastAsia" w:ascii="Times New Roman" w:hAnsi="Times New Roman" w:eastAsia="仿宋_GB2312"/>
          <w:sz w:val="32"/>
          <w:szCs w:val="32"/>
        </w:rPr>
        <w:t>严格坚持发布前的保密审查登记制度。</w:t>
      </w:r>
      <w:r>
        <w:rPr>
          <w:rFonts w:ascii="Times New Roman" w:hAnsi="Times New Roman" w:eastAsia="仿宋_GB2312"/>
          <w:sz w:val="32"/>
          <w:szCs w:val="32"/>
        </w:rPr>
        <w:t>在做好政府门户网站等信息发布平台的基础上，结合群众阅读习惯和日益增长的政府信息需求，同步更新实体公开栏</w:t>
      </w:r>
      <w:r>
        <w:rPr>
          <w:rFonts w:hint="eastAsia" w:ascii="Times New Roman" w:hAnsi="Times New Roman" w:eastAsia="仿宋_GB2312"/>
          <w:sz w:val="32"/>
          <w:szCs w:val="32"/>
        </w:rPr>
        <w:t>。规范建设政务公开专区，配备有办公桌椅1套、电脑1台，提供政府信息查阅服务。并</w:t>
      </w:r>
      <w:r>
        <w:rPr>
          <w:rFonts w:ascii="Times New Roman" w:hAnsi="Times New Roman" w:eastAsia="仿宋_GB2312"/>
          <w:sz w:val="32"/>
          <w:szCs w:val="32"/>
        </w:rPr>
        <w:t>依托“诚信洪濑”官方微信公众号，做好信息发布，扩大信息发布的受众面，提高影响力</w:t>
      </w:r>
      <w:r>
        <w:rPr>
          <w:rFonts w:hint="eastAsia" w:ascii="Times New Roman" w:hAnsi="Times New Roman" w:eastAsia="仿宋_GB2312"/>
          <w:sz w:val="32"/>
          <w:szCs w:val="32"/>
        </w:rPr>
        <w:t>，推进政府信息与政务公开进一步标准化、规范化。</w:t>
      </w:r>
    </w:p>
    <w:p>
      <w:pPr>
        <w:spacing w:line="520" w:lineRule="exact"/>
        <w:ind w:firstLine="643" w:firstLineChars="200"/>
        <w:rPr>
          <w:rFonts w:ascii="Times New Roman" w:hAnsi="Times New Roman" w:eastAsia="楷体_GB2312"/>
          <w:b/>
          <w:bCs/>
          <w:kern w:val="0"/>
          <w:sz w:val="32"/>
          <w:szCs w:val="32"/>
        </w:rPr>
      </w:pPr>
      <w:r>
        <w:rPr>
          <w:rFonts w:ascii="Times New Roman" w:hAnsi="Times New Roman" w:eastAsia="楷体_GB2312"/>
          <w:b/>
          <w:bCs/>
          <w:kern w:val="0"/>
          <w:sz w:val="32"/>
          <w:szCs w:val="32"/>
        </w:rPr>
        <w:t>（五）监督保障情况</w:t>
      </w:r>
    </w:p>
    <w:p>
      <w:pPr>
        <w:spacing w:line="520" w:lineRule="exact"/>
        <w:ind w:firstLine="645"/>
        <w:rPr>
          <w:rFonts w:ascii="Times New Roman" w:hAnsi="Times New Roman" w:eastAsia="仿宋_GB2312"/>
          <w:sz w:val="32"/>
          <w:szCs w:val="32"/>
        </w:rPr>
      </w:pPr>
      <w:r>
        <w:rPr>
          <w:rFonts w:hint="eastAsia" w:ascii="Times New Roman" w:hAnsi="Times New Roman" w:eastAsia="仿宋_GB2312"/>
          <w:sz w:val="32"/>
          <w:szCs w:val="32"/>
        </w:rPr>
        <w:t>今年来，洪濑镇不断加强政务公开社会监督力度，不断提升政府信息公开质量，按照法定时限及时发布并实时更新法定主动公开内容。一是明确责任，形成了主要领导负总责，分管领导具体抓，各部门、站（所）配合抓的机制，领导小组下设办公室并指定专人负责全镇政府信息公开工作相关规章的制订、公开信息的发布和报送、依申请公开信息的受理等具体工作，确保政务公开工作有组织、有计划、有步骤地稳步推进。二是强化日常监督。定期安排专人对政府信息公开网信息公开情况进行全覆盖检查，不留死角。对照公开目录逐项、逐条检查，点对点监督、面对面反馈，确保及时、规范、准确发布信息。三是突出重点监督。镇级抽调干部成立政务公开工作专项督导组，通过明察暗访、直接感受、接受群众投诉等多种渠道，收集整理政府信息和政务公开方面有关意见、建议和要求，不定期反馈并跟踪督促落实</w:t>
      </w:r>
      <w:r>
        <w:rPr>
          <w:rFonts w:ascii="Times New Roman" w:hAnsi="Times New Roman" w:eastAsia="仿宋_GB2312"/>
          <w:sz w:val="32"/>
          <w:szCs w:val="32"/>
        </w:rPr>
        <w:t>，切实保障人民群众的知情权、参与权和监督权。</w:t>
      </w:r>
    </w:p>
    <w:p>
      <w:pPr>
        <w:spacing w:line="54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二、主动公开政府信息情况</w:t>
      </w:r>
    </w:p>
    <w:tbl>
      <w:tblPr>
        <w:tblStyle w:val="6"/>
        <w:tblW w:w="8804" w:type="dxa"/>
        <w:tblInd w:w="42" w:type="dxa"/>
        <w:shd w:val="clear" w:color="auto" w:fill="FFFFFF" w:themeFill="background1"/>
        <w:tblLayout w:type="autofit"/>
        <w:tblCellMar>
          <w:top w:w="15" w:type="dxa"/>
          <w:left w:w="15" w:type="dxa"/>
          <w:bottom w:w="15" w:type="dxa"/>
          <w:right w:w="15" w:type="dxa"/>
        </w:tblCellMar>
      </w:tblPr>
      <w:tblGrid>
        <w:gridCol w:w="1661"/>
        <w:gridCol w:w="1662"/>
        <w:gridCol w:w="1662"/>
        <w:gridCol w:w="3819"/>
      </w:tblGrid>
      <w:tr>
        <w:tblPrEx>
          <w:shd w:val="clear" w:color="auto" w:fill="FFFFFF" w:themeFill="background1"/>
          <w:tblCellMar>
            <w:top w:w="15" w:type="dxa"/>
            <w:left w:w="15" w:type="dxa"/>
            <w:bottom w:w="15" w:type="dxa"/>
            <w:right w:w="15" w:type="dxa"/>
          </w:tblCellMar>
        </w:tblPrEx>
        <w:trPr>
          <w:trHeight w:val="340" w:hRule="atLeast"/>
        </w:trPr>
        <w:tc>
          <w:tcPr>
            <w:tcW w:w="8804"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第二十条第（一）项</w:t>
            </w:r>
          </w:p>
        </w:tc>
      </w:tr>
      <w:tr>
        <w:tblPrEx>
          <w:shd w:val="clear" w:color="auto" w:fill="FFFFFF" w:themeFill="background1"/>
          <w:tblCellMar>
            <w:top w:w="15" w:type="dxa"/>
            <w:left w:w="15" w:type="dxa"/>
            <w:bottom w:w="15" w:type="dxa"/>
            <w:right w:w="15" w:type="dxa"/>
          </w:tblCellMar>
        </w:tblPrEx>
        <w:trPr>
          <w:trHeight w:val="340" w:hRule="atLeast"/>
        </w:trPr>
        <w:tc>
          <w:tcPr>
            <w:tcW w:w="1661"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信息内容</w:t>
            </w:r>
          </w:p>
        </w:tc>
        <w:tc>
          <w:tcPr>
            <w:tcW w:w="1662"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本年</w:t>
            </w:r>
            <w:r>
              <w:rPr>
                <w:rFonts w:ascii="Times New Roman"/>
                <w:color w:val="000000"/>
                <w:kern w:val="0"/>
                <w:sz w:val="20"/>
                <w:szCs w:val="20"/>
              </w:rPr>
              <w:t>制</w:t>
            </w:r>
            <w:r>
              <w:rPr>
                <w:rFonts w:ascii="Times New Roman" w:hAnsi="宋体"/>
                <w:color w:val="000000"/>
                <w:kern w:val="0"/>
                <w:sz w:val="20"/>
                <w:szCs w:val="20"/>
              </w:rPr>
              <w:t>发件</w:t>
            </w:r>
            <w:r>
              <w:rPr>
                <w:rFonts w:ascii="Times New Roman"/>
                <w:color w:val="000000"/>
                <w:kern w:val="0"/>
                <w:sz w:val="20"/>
                <w:szCs w:val="20"/>
              </w:rPr>
              <w:t>数</w:t>
            </w:r>
          </w:p>
        </w:tc>
        <w:tc>
          <w:tcPr>
            <w:tcW w:w="1662"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本年废止件数</w:t>
            </w:r>
          </w:p>
        </w:tc>
        <w:tc>
          <w:tcPr>
            <w:tcW w:w="3819"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现行有效件</w:t>
            </w:r>
            <w:r>
              <w:rPr>
                <w:rFonts w:ascii="Times New Roman"/>
                <w:color w:val="000000"/>
                <w:kern w:val="0"/>
                <w:sz w:val="20"/>
                <w:szCs w:val="20"/>
              </w:rPr>
              <w:t>数</w:t>
            </w:r>
          </w:p>
        </w:tc>
      </w:tr>
      <w:tr>
        <w:tblPrEx>
          <w:shd w:val="clear" w:color="auto" w:fill="FFFFFF" w:themeFill="background1"/>
          <w:tblCellMar>
            <w:top w:w="15" w:type="dxa"/>
            <w:left w:w="15" w:type="dxa"/>
            <w:bottom w:w="15" w:type="dxa"/>
            <w:right w:w="15" w:type="dxa"/>
          </w:tblCellMar>
        </w:tblPrEx>
        <w:trPr>
          <w:trHeight w:val="340" w:hRule="atLeast"/>
        </w:trPr>
        <w:tc>
          <w:tcPr>
            <w:tcW w:w="1661"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left"/>
              <w:rPr>
                <w:rFonts w:ascii="Times New Roman" w:hAnsi="Times New Roman"/>
                <w:color w:val="000000"/>
                <w:kern w:val="0"/>
                <w:sz w:val="24"/>
              </w:rPr>
            </w:pPr>
            <w:r>
              <w:rPr>
                <w:rFonts w:ascii="Times New Roman" w:hAnsi="宋体"/>
                <w:color w:val="000000"/>
                <w:kern w:val="0"/>
                <w:sz w:val="20"/>
                <w:szCs w:val="20"/>
              </w:rPr>
              <w:t>规章</w:t>
            </w:r>
          </w:p>
        </w:tc>
        <w:tc>
          <w:tcPr>
            <w:tcW w:w="1662"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1662"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3819"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Cs w:val="21"/>
              </w:rPr>
              <w:t>0</w:t>
            </w:r>
          </w:p>
        </w:tc>
      </w:tr>
      <w:tr>
        <w:tblPrEx>
          <w:tblCellMar>
            <w:top w:w="15" w:type="dxa"/>
            <w:left w:w="15" w:type="dxa"/>
            <w:bottom w:w="15" w:type="dxa"/>
            <w:right w:w="15" w:type="dxa"/>
          </w:tblCellMar>
        </w:tblPrEx>
        <w:trPr>
          <w:trHeight w:val="340" w:hRule="atLeast"/>
        </w:trPr>
        <w:tc>
          <w:tcPr>
            <w:tcW w:w="1661"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left"/>
              <w:rPr>
                <w:rFonts w:ascii="Times New Roman" w:hAnsi="Times New Roman"/>
                <w:color w:val="000000"/>
                <w:kern w:val="0"/>
                <w:sz w:val="24"/>
              </w:rPr>
            </w:pPr>
            <w:r>
              <w:rPr>
                <w:rFonts w:ascii="Times New Roman" w:hAnsi="宋体"/>
                <w:color w:val="000000"/>
                <w:kern w:val="0"/>
                <w:sz w:val="20"/>
                <w:szCs w:val="20"/>
              </w:rPr>
              <w:t>行政规范性文件</w:t>
            </w:r>
          </w:p>
        </w:tc>
        <w:tc>
          <w:tcPr>
            <w:tcW w:w="1662"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1662"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3819"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Cs w:val="21"/>
              </w:rPr>
              <w:t>6</w:t>
            </w:r>
          </w:p>
        </w:tc>
      </w:tr>
      <w:tr>
        <w:tblPrEx>
          <w:tblCellMar>
            <w:top w:w="15" w:type="dxa"/>
            <w:left w:w="15" w:type="dxa"/>
            <w:bottom w:w="15" w:type="dxa"/>
            <w:right w:w="15" w:type="dxa"/>
          </w:tblCellMar>
        </w:tblPrEx>
        <w:trPr>
          <w:trHeight w:val="340" w:hRule="atLeast"/>
        </w:trPr>
        <w:tc>
          <w:tcPr>
            <w:tcW w:w="8804"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第二十条第（五）项</w:t>
            </w:r>
          </w:p>
        </w:tc>
      </w:tr>
      <w:tr>
        <w:tblPrEx>
          <w:tblCellMar>
            <w:top w:w="15" w:type="dxa"/>
            <w:left w:w="15" w:type="dxa"/>
            <w:bottom w:w="15" w:type="dxa"/>
            <w:right w:w="15" w:type="dxa"/>
          </w:tblCellMar>
        </w:tblPrEx>
        <w:trPr>
          <w:trHeight w:val="340" w:hRule="atLeast"/>
        </w:trPr>
        <w:tc>
          <w:tcPr>
            <w:tcW w:w="1661"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信息内容</w:t>
            </w:r>
          </w:p>
        </w:tc>
        <w:tc>
          <w:tcPr>
            <w:tcW w:w="7143"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本年处理决定数量</w:t>
            </w:r>
          </w:p>
        </w:tc>
      </w:tr>
      <w:tr>
        <w:tblPrEx>
          <w:tblCellMar>
            <w:top w:w="15" w:type="dxa"/>
            <w:left w:w="15" w:type="dxa"/>
            <w:bottom w:w="15" w:type="dxa"/>
            <w:right w:w="15" w:type="dxa"/>
          </w:tblCellMar>
        </w:tblPrEx>
        <w:trPr>
          <w:trHeight w:val="340" w:hRule="atLeast"/>
        </w:trPr>
        <w:tc>
          <w:tcPr>
            <w:tcW w:w="1661"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left"/>
              <w:rPr>
                <w:rFonts w:ascii="Times New Roman" w:hAnsi="Times New Roman"/>
                <w:color w:val="000000"/>
                <w:kern w:val="0"/>
                <w:sz w:val="24"/>
              </w:rPr>
            </w:pPr>
            <w:r>
              <w:rPr>
                <w:rFonts w:ascii="Times New Roman" w:hAnsi="宋体"/>
                <w:color w:val="000000"/>
                <w:kern w:val="0"/>
                <w:sz w:val="20"/>
                <w:szCs w:val="20"/>
              </w:rPr>
              <w:t>行政许可</w:t>
            </w:r>
          </w:p>
        </w:tc>
        <w:tc>
          <w:tcPr>
            <w:tcW w:w="7143"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Cs w:val="21"/>
              </w:rPr>
              <w:t>0</w:t>
            </w:r>
          </w:p>
        </w:tc>
      </w:tr>
      <w:tr>
        <w:tblPrEx>
          <w:tblCellMar>
            <w:top w:w="15" w:type="dxa"/>
            <w:left w:w="15" w:type="dxa"/>
            <w:bottom w:w="15" w:type="dxa"/>
            <w:right w:w="15" w:type="dxa"/>
          </w:tblCellMar>
        </w:tblPrEx>
        <w:trPr>
          <w:trHeight w:val="340" w:hRule="atLeast"/>
        </w:trPr>
        <w:tc>
          <w:tcPr>
            <w:tcW w:w="8804"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第二十条第（六）项</w:t>
            </w:r>
          </w:p>
        </w:tc>
      </w:tr>
      <w:tr>
        <w:tblPrEx>
          <w:tblCellMar>
            <w:top w:w="15" w:type="dxa"/>
            <w:left w:w="15" w:type="dxa"/>
            <w:bottom w:w="15" w:type="dxa"/>
            <w:right w:w="15" w:type="dxa"/>
          </w:tblCellMar>
        </w:tblPrEx>
        <w:trPr>
          <w:trHeight w:val="340" w:hRule="atLeast"/>
        </w:trPr>
        <w:tc>
          <w:tcPr>
            <w:tcW w:w="1661"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信息内容</w:t>
            </w:r>
          </w:p>
        </w:tc>
        <w:tc>
          <w:tcPr>
            <w:tcW w:w="7143" w:type="dxa"/>
            <w:gridSpan w:val="3"/>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本年处理决定数量</w:t>
            </w:r>
          </w:p>
        </w:tc>
      </w:tr>
      <w:tr>
        <w:tblPrEx>
          <w:tblCellMar>
            <w:top w:w="15" w:type="dxa"/>
            <w:left w:w="15" w:type="dxa"/>
            <w:bottom w:w="15" w:type="dxa"/>
            <w:right w:w="15" w:type="dxa"/>
          </w:tblCellMar>
        </w:tblPrEx>
        <w:trPr>
          <w:trHeight w:val="340" w:hRule="atLeast"/>
        </w:trPr>
        <w:tc>
          <w:tcPr>
            <w:tcW w:w="1661"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left"/>
              <w:rPr>
                <w:rFonts w:ascii="Times New Roman" w:hAnsi="Times New Roman"/>
                <w:color w:val="000000"/>
                <w:kern w:val="0"/>
                <w:sz w:val="24"/>
              </w:rPr>
            </w:pPr>
            <w:r>
              <w:rPr>
                <w:rFonts w:ascii="Times New Roman" w:hAnsi="宋体"/>
                <w:color w:val="000000"/>
                <w:kern w:val="0"/>
                <w:sz w:val="20"/>
                <w:szCs w:val="20"/>
              </w:rPr>
              <w:t>行政处罚</w:t>
            </w:r>
          </w:p>
        </w:tc>
        <w:tc>
          <w:tcPr>
            <w:tcW w:w="7143"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r>
      <w:tr>
        <w:tblPrEx>
          <w:tblCellMar>
            <w:top w:w="15" w:type="dxa"/>
            <w:left w:w="15" w:type="dxa"/>
            <w:bottom w:w="15" w:type="dxa"/>
            <w:right w:w="15" w:type="dxa"/>
          </w:tblCellMar>
        </w:tblPrEx>
        <w:trPr>
          <w:trHeight w:val="340" w:hRule="atLeast"/>
        </w:trPr>
        <w:tc>
          <w:tcPr>
            <w:tcW w:w="1661"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left"/>
              <w:rPr>
                <w:rFonts w:ascii="Times New Roman" w:hAnsi="Times New Roman"/>
                <w:color w:val="000000"/>
                <w:kern w:val="0"/>
                <w:sz w:val="24"/>
              </w:rPr>
            </w:pPr>
            <w:r>
              <w:rPr>
                <w:rFonts w:ascii="Times New Roman" w:hAnsi="宋体"/>
                <w:color w:val="000000"/>
                <w:kern w:val="0"/>
                <w:sz w:val="20"/>
                <w:szCs w:val="20"/>
              </w:rPr>
              <w:t>行政强制</w:t>
            </w:r>
          </w:p>
        </w:tc>
        <w:tc>
          <w:tcPr>
            <w:tcW w:w="7143"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r>
      <w:tr>
        <w:tblPrEx>
          <w:tblCellMar>
            <w:top w:w="15" w:type="dxa"/>
            <w:left w:w="15" w:type="dxa"/>
            <w:bottom w:w="15" w:type="dxa"/>
            <w:right w:w="15" w:type="dxa"/>
          </w:tblCellMar>
        </w:tblPrEx>
        <w:trPr>
          <w:trHeight w:val="340" w:hRule="atLeast"/>
        </w:trPr>
        <w:tc>
          <w:tcPr>
            <w:tcW w:w="8804"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第二十条第（八）项</w:t>
            </w:r>
          </w:p>
        </w:tc>
      </w:tr>
      <w:tr>
        <w:tblPrEx>
          <w:tblCellMar>
            <w:top w:w="15" w:type="dxa"/>
            <w:left w:w="15" w:type="dxa"/>
            <w:bottom w:w="15" w:type="dxa"/>
            <w:right w:w="15" w:type="dxa"/>
          </w:tblCellMar>
        </w:tblPrEx>
        <w:trPr>
          <w:trHeight w:val="340" w:hRule="atLeast"/>
        </w:trPr>
        <w:tc>
          <w:tcPr>
            <w:tcW w:w="1661"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信息内容</w:t>
            </w:r>
          </w:p>
        </w:tc>
        <w:tc>
          <w:tcPr>
            <w:tcW w:w="7143" w:type="dxa"/>
            <w:gridSpan w:val="3"/>
            <w:tcBorders>
              <w:top w:val="nil"/>
              <w:left w:val="nil"/>
              <w:bottom w:val="single" w:color="auto" w:sz="8" w:space="0"/>
              <w:right w:val="single" w:color="000000" w:sz="8"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本年收费金额（单位：万元）</w:t>
            </w:r>
          </w:p>
        </w:tc>
      </w:tr>
      <w:tr>
        <w:tblPrEx>
          <w:tblCellMar>
            <w:top w:w="15" w:type="dxa"/>
            <w:left w:w="15" w:type="dxa"/>
            <w:bottom w:w="15" w:type="dxa"/>
            <w:right w:w="15" w:type="dxa"/>
          </w:tblCellMar>
        </w:tblPrEx>
        <w:trPr>
          <w:trHeight w:val="340" w:hRule="atLeast"/>
        </w:trPr>
        <w:tc>
          <w:tcPr>
            <w:tcW w:w="1661"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widowControl/>
              <w:jc w:val="left"/>
              <w:rPr>
                <w:rFonts w:ascii="Times New Roman" w:hAnsi="Times New Roman"/>
                <w:color w:val="000000"/>
                <w:kern w:val="0"/>
                <w:sz w:val="24"/>
              </w:rPr>
            </w:pPr>
            <w:r>
              <w:rPr>
                <w:rFonts w:ascii="Times New Roman" w:hAnsi="宋体"/>
                <w:color w:val="000000"/>
                <w:kern w:val="0"/>
                <w:sz w:val="20"/>
                <w:szCs w:val="20"/>
              </w:rPr>
              <w:t>行政事业性收费</w:t>
            </w:r>
          </w:p>
        </w:tc>
        <w:tc>
          <w:tcPr>
            <w:tcW w:w="7143" w:type="dxa"/>
            <w:gridSpan w:val="3"/>
            <w:tcBorders>
              <w:top w:val="nil"/>
              <w:left w:val="nil"/>
              <w:bottom w:val="single" w:color="auto" w:sz="8" w:space="0"/>
              <w:right w:val="single" w:color="000000" w:sz="8"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16"/>
                <w:szCs w:val="16"/>
              </w:rPr>
            </w:pPr>
            <w:r>
              <w:rPr>
                <w:rFonts w:ascii="Times New Roman" w:hAnsi="Times New Roman"/>
                <w:color w:val="000000"/>
                <w:kern w:val="0"/>
                <w:sz w:val="16"/>
                <w:szCs w:val="16"/>
              </w:rPr>
              <w:t>0</w:t>
            </w:r>
          </w:p>
        </w:tc>
      </w:tr>
    </w:tbl>
    <w:p>
      <w:pPr>
        <w:spacing w:line="54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三、收到和处理政府信息公开申请情况</w:t>
      </w:r>
    </w:p>
    <w:tbl>
      <w:tblPr>
        <w:tblStyle w:val="6"/>
        <w:tblW w:w="8804" w:type="dxa"/>
        <w:tblInd w:w="93" w:type="dxa"/>
        <w:shd w:val="clear" w:color="auto" w:fill="FFFFFF" w:themeFill="background1"/>
        <w:tblLayout w:type="autofit"/>
        <w:tblCellMar>
          <w:top w:w="15" w:type="dxa"/>
          <w:left w:w="15" w:type="dxa"/>
          <w:bottom w:w="15" w:type="dxa"/>
          <w:right w:w="15" w:type="dxa"/>
        </w:tblCellMar>
      </w:tblPr>
      <w:tblGrid>
        <w:gridCol w:w="607"/>
        <w:gridCol w:w="798"/>
        <w:gridCol w:w="1516"/>
        <w:gridCol w:w="453"/>
        <w:gridCol w:w="453"/>
        <w:gridCol w:w="453"/>
        <w:gridCol w:w="453"/>
        <w:gridCol w:w="453"/>
        <w:gridCol w:w="453"/>
        <w:gridCol w:w="3165"/>
      </w:tblGrid>
      <w:tr>
        <w:tblPrEx>
          <w:shd w:val="clear" w:color="auto" w:fill="FFFFFF" w:themeFill="background1"/>
          <w:tblCellMar>
            <w:top w:w="15" w:type="dxa"/>
            <w:left w:w="15" w:type="dxa"/>
            <w:bottom w:w="15" w:type="dxa"/>
            <w:right w:w="15" w:type="dxa"/>
          </w:tblCellMar>
        </w:tblPrEx>
        <w:tc>
          <w:tcPr>
            <w:tcW w:w="2921" w:type="dxa"/>
            <w:gridSpan w:val="3"/>
            <w:vMerge w:val="restart"/>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vAlign w:val="center"/>
          </w:tcPr>
          <w:p>
            <w:pPr>
              <w:widowControl/>
              <w:jc w:val="left"/>
              <w:rPr>
                <w:rFonts w:ascii="Times New Roman" w:hAnsi="Times New Roman"/>
                <w:color w:val="000000"/>
                <w:kern w:val="0"/>
                <w:sz w:val="24"/>
              </w:rPr>
            </w:pPr>
            <w:r>
              <w:rPr>
                <w:rFonts w:ascii="Times New Roman" w:hAnsi="楷体" w:eastAsia="楷体"/>
                <w:color w:val="000000"/>
                <w:kern w:val="0"/>
                <w:sz w:val="20"/>
                <w:szCs w:val="20"/>
              </w:rPr>
              <w:t>（本列数据的勾稽关系为：第一项加第二项之和，等于第三项加第四项之和）</w:t>
            </w:r>
          </w:p>
        </w:tc>
        <w:tc>
          <w:tcPr>
            <w:tcW w:w="5883" w:type="dxa"/>
            <w:gridSpan w:val="7"/>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申请人情况</w:t>
            </w:r>
          </w:p>
        </w:tc>
      </w:tr>
      <w:tr>
        <w:tblPrEx>
          <w:shd w:val="clear" w:color="auto" w:fill="FFFFFF" w:themeFill="background1"/>
          <w:tblCellMar>
            <w:top w:w="15" w:type="dxa"/>
            <w:left w:w="15" w:type="dxa"/>
            <w:bottom w:w="15" w:type="dxa"/>
            <w:right w:w="15" w:type="dxa"/>
          </w:tblCellMar>
        </w:tblPrEx>
        <w:tc>
          <w:tcPr>
            <w:tcW w:w="0" w:type="auto"/>
            <w:gridSpan w:val="3"/>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45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自然人</w:t>
            </w:r>
          </w:p>
        </w:tc>
        <w:tc>
          <w:tcPr>
            <w:tcW w:w="2265" w:type="dxa"/>
            <w:gridSpan w:val="5"/>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法人或其他组织</w:t>
            </w:r>
          </w:p>
        </w:tc>
        <w:tc>
          <w:tcPr>
            <w:tcW w:w="3165"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总计</w:t>
            </w:r>
          </w:p>
        </w:tc>
      </w:tr>
      <w:tr>
        <w:tblPrEx>
          <w:shd w:val="clear" w:color="auto" w:fill="FFFFFF" w:themeFill="background1"/>
          <w:tblCellMar>
            <w:top w:w="15" w:type="dxa"/>
            <w:left w:w="15" w:type="dxa"/>
            <w:bottom w:w="15" w:type="dxa"/>
            <w:right w:w="15" w:type="dxa"/>
          </w:tblCellMar>
        </w:tblPrEx>
        <w:tc>
          <w:tcPr>
            <w:tcW w:w="0" w:type="auto"/>
            <w:gridSpan w:val="3"/>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商业</w:t>
            </w:r>
          </w:p>
          <w:p>
            <w:pPr>
              <w:widowControl/>
              <w:jc w:val="center"/>
              <w:rPr>
                <w:rFonts w:ascii="Times New Roman" w:hAnsi="Times New Roman"/>
                <w:color w:val="000000"/>
                <w:kern w:val="0"/>
                <w:sz w:val="24"/>
              </w:rPr>
            </w:pPr>
            <w:r>
              <w:rPr>
                <w:rFonts w:ascii="Times New Roman" w:hAnsi="宋体"/>
                <w:color w:val="000000"/>
                <w:kern w:val="0"/>
                <w:sz w:val="20"/>
                <w:szCs w:val="20"/>
              </w:rPr>
              <w:t>企业</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科研</w:t>
            </w:r>
          </w:p>
          <w:p>
            <w:pPr>
              <w:widowControl/>
              <w:jc w:val="center"/>
              <w:rPr>
                <w:rFonts w:ascii="Times New Roman" w:hAnsi="Times New Roman"/>
                <w:color w:val="000000"/>
                <w:kern w:val="0"/>
                <w:sz w:val="24"/>
              </w:rPr>
            </w:pPr>
            <w:r>
              <w:rPr>
                <w:rFonts w:ascii="Times New Roman" w:hAnsi="宋体"/>
                <w:color w:val="000000"/>
                <w:kern w:val="0"/>
                <w:sz w:val="20"/>
                <w:szCs w:val="20"/>
              </w:rPr>
              <w:t>机构</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社会公益组织</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法律服务机构</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其他</w:t>
            </w:r>
          </w:p>
        </w:tc>
        <w:tc>
          <w:tcPr>
            <w:tcW w:w="316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r>
      <w:tr>
        <w:tblPrEx>
          <w:shd w:val="clear" w:color="auto" w:fill="FFFFFF" w:themeFill="background1"/>
          <w:tblCellMar>
            <w:top w:w="15" w:type="dxa"/>
            <w:left w:w="15" w:type="dxa"/>
            <w:bottom w:w="15" w:type="dxa"/>
            <w:right w:w="15" w:type="dxa"/>
          </w:tblCellMar>
        </w:tblPrEx>
        <w:tc>
          <w:tcPr>
            <w:tcW w:w="2921"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left"/>
              <w:rPr>
                <w:rFonts w:ascii="Times New Roman" w:hAnsi="Times New Roman"/>
                <w:color w:val="000000"/>
                <w:kern w:val="0"/>
                <w:sz w:val="24"/>
              </w:rPr>
            </w:pPr>
            <w:r>
              <w:rPr>
                <w:rFonts w:ascii="Times New Roman" w:hAnsi="宋体"/>
                <w:color w:val="000000"/>
                <w:kern w:val="0"/>
                <w:sz w:val="20"/>
                <w:szCs w:val="20"/>
              </w:rPr>
              <w:t>一、本年新收政府信息公开申请数量</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316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r>
      <w:tr>
        <w:tblPrEx>
          <w:shd w:val="clear" w:color="auto" w:fill="FFFFFF" w:themeFill="background1"/>
          <w:tblCellMar>
            <w:top w:w="15" w:type="dxa"/>
            <w:left w:w="15" w:type="dxa"/>
            <w:bottom w:w="15" w:type="dxa"/>
            <w:right w:w="15" w:type="dxa"/>
          </w:tblCellMar>
        </w:tblPrEx>
        <w:tc>
          <w:tcPr>
            <w:tcW w:w="2921"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left"/>
              <w:rPr>
                <w:rFonts w:ascii="Times New Roman" w:hAnsi="Times New Roman"/>
                <w:color w:val="000000"/>
                <w:kern w:val="0"/>
                <w:sz w:val="24"/>
              </w:rPr>
            </w:pPr>
            <w:r>
              <w:rPr>
                <w:rFonts w:ascii="Times New Roman" w:hAnsi="宋体"/>
                <w:color w:val="000000"/>
                <w:kern w:val="0"/>
                <w:sz w:val="20"/>
                <w:szCs w:val="20"/>
              </w:rPr>
              <w:t>二、上年结转政府信息公开申请数量</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316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r>
      <w:tr>
        <w:tblPrEx>
          <w:shd w:val="clear" w:color="auto" w:fill="FFFFFF" w:themeFill="background1"/>
          <w:tblCellMar>
            <w:top w:w="15" w:type="dxa"/>
            <w:left w:w="15" w:type="dxa"/>
            <w:bottom w:w="15" w:type="dxa"/>
            <w:right w:w="15" w:type="dxa"/>
          </w:tblCellMar>
        </w:tblPrEx>
        <w:tc>
          <w:tcPr>
            <w:tcW w:w="607"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left"/>
              <w:rPr>
                <w:rFonts w:ascii="Times New Roman" w:hAnsi="Times New Roman"/>
                <w:color w:val="000000"/>
                <w:kern w:val="0"/>
                <w:sz w:val="24"/>
              </w:rPr>
            </w:pPr>
            <w:r>
              <w:rPr>
                <w:rFonts w:ascii="Times New Roman" w:hAnsi="宋体"/>
                <w:color w:val="000000"/>
                <w:kern w:val="0"/>
                <w:sz w:val="20"/>
                <w:szCs w:val="20"/>
              </w:rPr>
              <w:t>三、本年度办理结果</w:t>
            </w:r>
          </w:p>
        </w:tc>
        <w:tc>
          <w:tcPr>
            <w:tcW w:w="2314"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left"/>
              <w:rPr>
                <w:rFonts w:ascii="Times New Roman" w:hAnsi="Times New Roman"/>
                <w:color w:val="000000"/>
                <w:kern w:val="0"/>
                <w:sz w:val="24"/>
              </w:rPr>
            </w:pPr>
            <w:r>
              <w:rPr>
                <w:rFonts w:ascii="Times New Roman" w:hAnsi="宋体"/>
                <w:color w:val="000000"/>
                <w:kern w:val="0"/>
                <w:sz w:val="20"/>
                <w:szCs w:val="20"/>
              </w:rPr>
              <w:t>（一）予以公开</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316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r>
      <w:tr>
        <w:tblPrEx>
          <w:shd w:val="clear" w:color="auto" w:fill="FFFFFF" w:themeFill="background1"/>
          <w:tblCellMar>
            <w:top w:w="15" w:type="dxa"/>
            <w:left w:w="15" w:type="dxa"/>
            <w:bottom w:w="15" w:type="dxa"/>
            <w:right w:w="15"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2314"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left"/>
              <w:rPr>
                <w:rFonts w:ascii="Times New Roman" w:hAnsi="Times New Roman"/>
                <w:color w:val="000000"/>
                <w:kern w:val="0"/>
                <w:sz w:val="24"/>
              </w:rPr>
            </w:pPr>
            <w:r>
              <w:rPr>
                <w:rFonts w:ascii="Times New Roman" w:hAnsi="宋体"/>
                <w:color w:val="000000"/>
                <w:kern w:val="0"/>
                <w:sz w:val="20"/>
                <w:szCs w:val="20"/>
              </w:rPr>
              <w:t>（二）部分公开</w:t>
            </w:r>
            <w:r>
              <w:rPr>
                <w:rFonts w:ascii="Times New Roman" w:hAnsi="楷体" w:eastAsia="楷体"/>
                <w:color w:val="000000"/>
                <w:kern w:val="0"/>
                <w:sz w:val="20"/>
                <w:szCs w:val="20"/>
              </w:rPr>
              <w:t>（区分处理的，只计这一情形，不计其他情形）</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316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r>
      <w:tr>
        <w:tblPrEx>
          <w:shd w:val="clear" w:color="auto" w:fill="FFFFFF" w:themeFill="background1"/>
          <w:tblCellMar>
            <w:top w:w="15" w:type="dxa"/>
            <w:left w:w="15" w:type="dxa"/>
            <w:bottom w:w="15" w:type="dxa"/>
            <w:right w:w="15"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798"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left"/>
              <w:rPr>
                <w:rFonts w:ascii="Times New Roman" w:hAnsi="Times New Roman"/>
                <w:color w:val="000000"/>
                <w:kern w:val="0"/>
                <w:sz w:val="24"/>
              </w:rPr>
            </w:pPr>
            <w:r>
              <w:rPr>
                <w:rFonts w:ascii="Times New Roman" w:hAnsi="宋体"/>
                <w:color w:val="000000"/>
                <w:kern w:val="0"/>
                <w:sz w:val="20"/>
                <w:szCs w:val="20"/>
              </w:rPr>
              <w:t>（三）不予公开</w:t>
            </w:r>
          </w:p>
        </w:tc>
        <w:tc>
          <w:tcPr>
            <w:tcW w:w="151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tcPr>
          <w:p>
            <w:pPr>
              <w:widowControl/>
              <w:jc w:val="left"/>
              <w:rPr>
                <w:rFonts w:ascii="Times New Roman" w:hAnsi="Times New Roman"/>
                <w:color w:val="000000"/>
                <w:kern w:val="0"/>
                <w:sz w:val="24"/>
              </w:rPr>
            </w:pPr>
            <w:r>
              <w:rPr>
                <w:rFonts w:ascii="Times New Roman" w:hAnsi="Times New Roman"/>
                <w:color w:val="000000"/>
                <w:kern w:val="0"/>
                <w:sz w:val="20"/>
                <w:szCs w:val="20"/>
              </w:rPr>
              <w:t>1.</w:t>
            </w:r>
            <w:r>
              <w:rPr>
                <w:rFonts w:ascii="Times New Roman" w:hAnsi="宋体"/>
                <w:color w:val="000000"/>
                <w:kern w:val="0"/>
                <w:sz w:val="20"/>
                <w:szCs w:val="20"/>
              </w:rPr>
              <w:t>属于国家秘密</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316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r>
      <w:tr>
        <w:tblPrEx>
          <w:shd w:val="clear" w:color="auto" w:fill="FFFFFF" w:themeFill="background1"/>
          <w:tblCellMar>
            <w:top w:w="15" w:type="dxa"/>
            <w:left w:w="15" w:type="dxa"/>
            <w:bottom w:w="15" w:type="dxa"/>
            <w:right w:w="15"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151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tcPr>
          <w:p>
            <w:pPr>
              <w:widowControl/>
              <w:jc w:val="left"/>
              <w:rPr>
                <w:rFonts w:ascii="Times New Roman" w:hAnsi="Times New Roman"/>
                <w:color w:val="000000"/>
                <w:kern w:val="0"/>
                <w:sz w:val="24"/>
              </w:rPr>
            </w:pPr>
            <w:r>
              <w:rPr>
                <w:rFonts w:ascii="Times New Roman" w:hAnsi="Times New Roman"/>
                <w:color w:val="000000"/>
                <w:kern w:val="0"/>
                <w:sz w:val="20"/>
                <w:szCs w:val="20"/>
              </w:rPr>
              <w:t>2.</w:t>
            </w:r>
            <w:r>
              <w:rPr>
                <w:rFonts w:ascii="Times New Roman" w:hAnsi="宋体"/>
                <w:color w:val="000000"/>
                <w:kern w:val="0"/>
                <w:sz w:val="20"/>
                <w:szCs w:val="20"/>
              </w:rPr>
              <w:t>其他法律行政法规禁止公开</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316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r>
      <w:tr>
        <w:tblPrEx>
          <w:shd w:val="clear" w:color="auto" w:fill="FFFFFF" w:themeFill="background1"/>
          <w:tblCellMar>
            <w:top w:w="15" w:type="dxa"/>
            <w:left w:w="15" w:type="dxa"/>
            <w:bottom w:w="15" w:type="dxa"/>
            <w:right w:w="15"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151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tcPr>
          <w:p>
            <w:pPr>
              <w:widowControl/>
              <w:jc w:val="left"/>
              <w:rPr>
                <w:rFonts w:ascii="Times New Roman" w:hAnsi="Times New Roman"/>
                <w:color w:val="000000"/>
                <w:kern w:val="0"/>
                <w:sz w:val="24"/>
              </w:rPr>
            </w:pPr>
            <w:r>
              <w:rPr>
                <w:rFonts w:ascii="Times New Roman" w:hAnsi="Times New Roman"/>
                <w:color w:val="000000"/>
                <w:kern w:val="0"/>
                <w:sz w:val="20"/>
                <w:szCs w:val="20"/>
              </w:rPr>
              <w:t>3.</w:t>
            </w:r>
            <w:r>
              <w:rPr>
                <w:rFonts w:ascii="Times New Roman" w:hAnsi="宋体"/>
                <w:color w:val="000000"/>
                <w:kern w:val="0"/>
                <w:sz w:val="20"/>
                <w:szCs w:val="20"/>
              </w:rPr>
              <w:t>危及</w:t>
            </w:r>
            <w:r>
              <w:rPr>
                <w:rFonts w:ascii="Times New Roman" w:hAnsi="Times New Roman"/>
                <w:color w:val="000000"/>
                <w:kern w:val="0"/>
                <w:sz w:val="20"/>
                <w:szCs w:val="20"/>
              </w:rPr>
              <w:t>“</w:t>
            </w:r>
            <w:r>
              <w:rPr>
                <w:rFonts w:ascii="Times New Roman" w:hAnsi="宋体"/>
                <w:color w:val="000000"/>
                <w:kern w:val="0"/>
                <w:sz w:val="20"/>
                <w:szCs w:val="20"/>
              </w:rPr>
              <w:t>三安全一稳定</w:t>
            </w:r>
            <w:r>
              <w:rPr>
                <w:rFonts w:ascii="Times New Roman" w:hAnsi="Times New Roman"/>
                <w:color w:val="000000"/>
                <w:kern w:val="0"/>
                <w:sz w:val="20"/>
                <w:szCs w:val="20"/>
              </w:rPr>
              <w:t>”</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316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r>
      <w:tr>
        <w:tblPrEx>
          <w:shd w:val="clear" w:color="auto" w:fill="FFFFFF" w:themeFill="background1"/>
          <w:tblCellMar>
            <w:top w:w="15" w:type="dxa"/>
            <w:left w:w="15" w:type="dxa"/>
            <w:bottom w:w="15" w:type="dxa"/>
            <w:right w:w="15"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151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tcPr>
          <w:p>
            <w:pPr>
              <w:widowControl/>
              <w:jc w:val="left"/>
              <w:rPr>
                <w:rFonts w:ascii="Times New Roman" w:hAnsi="Times New Roman"/>
                <w:color w:val="000000"/>
                <w:kern w:val="0"/>
                <w:sz w:val="24"/>
              </w:rPr>
            </w:pPr>
            <w:r>
              <w:rPr>
                <w:rFonts w:ascii="Times New Roman" w:hAnsi="Times New Roman"/>
                <w:color w:val="000000"/>
                <w:kern w:val="0"/>
                <w:sz w:val="20"/>
                <w:szCs w:val="20"/>
              </w:rPr>
              <w:t>4.</w:t>
            </w:r>
            <w:r>
              <w:rPr>
                <w:rFonts w:ascii="Times New Roman" w:hAnsi="宋体"/>
                <w:color w:val="000000"/>
                <w:kern w:val="0"/>
                <w:sz w:val="20"/>
                <w:szCs w:val="20"/>
              </w:rPr>
              <w:t>保护第三方合法权益</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316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r>
      <w:tr>
        <w:tblPrEx>
          <w:shd w:val="clear" w:color="auto" w:fill="FFFFFF" w:themeFill="background1"/>
          <w:tblCellMar>
            <w:top w:w="15" w:type="dxa"/>
            <w:left w:w="15" w:type="dxa"/>
            <w:bottom w:w="15" w:type="dxa"/>
            <w:right w:w="15"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151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tcPr>
          <w:p>
            <w:pPr>
              <w:widowControl/>
              <w:jc w:val="left"/>
              <w:rPr>
                <w:rFonts w:ascii="Times New Roman" w:hAnsi="Times New Roman"/>
                <w:color w:val="000000"/>
                <w:kern w:val="0"/>
                <w:sz w:val="24"/>
              </w:rPr>
            </w:pPr>
            <w:r>
              <w:rPr>
                <w:rFonts w:ascii="Times New Roman" w:hAnsi="Times New Roman"/>
                <w:color w:val="000000"/>
                <w:kern w:val="0"/>
                <w:sz w:val="20"/>
                <w:szCs w:val="20"/>
              </w:rPr>
              <w:t>5.</w:t>
            </w:r>
            <w:r>
              <w:rPr>
                <w:rFonts w:ascii="Times New Roman" w:hAnsi="宋体"/>
                <w:color w:val="000000"/>
                <w:kern w:val="0"/>
                <w:sz w:val="20"/>
                <w:szCs w:val="20"/>
              </w:rPr>
              <w:t>属于三类内部事务信息</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316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r>
      <w:tr>
        <w:tblPrEx>
          <w:shd w:val="clear" w:color="auto" w:fill="FFFFFF" w:themeFill="background1"/>
          <w:tblCellMar>
            <w:top w:w="15" w:type="dxa"/>
            <w:left w:w="15" w:type="dxa"/>
            <w:bottom w:w="15" w:type="dxa"/>
            <w:right w:w="15"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151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tcPr>
          <w:p>
            <w:pPr>
              <w:widowControl/>
              <w:jc w:val="left"/>
              <w:rPr>
                <w:rFonts w:ascii="Times New Roman" w:hAnsi="Times New Roman"/>
                <w:color w:val="000000"/>
                <w:kern w:val="0"/>
                <w:sz w:val="24"/>
              </w:rPr>
            </w:pPr>
            <w:r>
              <w:rPr>
                <w:rFonts w:ascii="Times New Roman" w:hAnsi="Times New Roman"/>
                <w:color w:val="000000"/>
                <w:kern w:val="0"/>
                <w:sz w:val="20"/>
                <w:szCs w:val="20"/>
              </w:rPr>
              <w:t>6.</w:t>
            </w:r>
            <w:r>
              <w:rPr>
                <w:rFonts w:ascii="Times New Roman" w:hAnsi="宋体"/>
                <w:color w:val="000000"/>
                <w:kern w:val="0"/>
                <w:sz w:val="20"/>
                <w:szCs w:val="20"/>
              </w:rPr>
              <w:t>属于四类过程性信息</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316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r>
      <w:tr>
        <w:tblPrEx>
          <w:shd w:val="clear" w:color="auto" w:fill="FFFFFF" w:themeFill="background1"/>
          <w:tblCellMar>
            <w:top w:w="15" w:type="dxa"/>
            <w:left w:w="15" w:type="dxa"/>
            <w:bottom w:w="15" w:type="dxa"/>
            <w:right w:w="15"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151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tcPr>
          <w:p>
            <w:pPr>
              <w:widowControl/>
              <w:jc w:val="left"/>
              <w:rPr>
                <w:rFonts w:ascii="Times New Roman" w:hAnsi="Times New Roman"/>
                <w:color w:val="000000"/>
                <w:kern w:val="0"/>
                <w:sz w:val="24"/>
              </w:rPr>
            </w:pPr>
            <w:r>
              <w:rPr>
                <w:rFonts w:ascii="Times New Roman" w:hAnsi="Times New Roman"/>
                <w:color w:val="000000"/>
                <w:kern w:val="0"/>
                <w:sz w:val="20"/>
                <w:szCs w:val="20"/>
              </w:rPr>
              <w:t>7.</w:t>
            </w:r>
            <w:r>
              <w:rPr>
                <w:rFonts w:ascii="Times New Roman" w:hAnsi="宋体"/>
                <w:color w:val="000000"/>
                <w:kern w:val="0"/>
                <w:sz w:val="20"/>
                <w:szCs w:val="20"/>
              </w:rPr>
              <w:t>属于行政执法案卷</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316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r>
      <w:tr>
        <w:tblPrEx>
          <w:shd w:val="clear" w:color="auto" w:fill="FFFFFF" w:themeFill="background1"/>
          <w:tblCellMar>
            <w:top w:w="15" w:type="dxa"/>
            <w:left w:w="15" w:type="dxa"/>
            <w:bottom w:w="15" w:type="dxa"/>
            <w:right w:w="15"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151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tcPr>
          <w:p>
            <w:pPr>
              <w:widowControl/>
              <w:jc w:val="left"/>
              <w:rPr>
                <w:rFonts w:ascii="Times New Roman" w:hAnsi="Times New Roman"/>
                <w:color w:val="000000"/>
                <w:kern w:val="0"/>
                <w:sz w:val="24"/>
              </w:rPr>
            </w:pPr>
            <w:r>
              <w:rPr>
                <w:rFonts w:ascii="Times New Roman" w:hAnsi="Times New Roman"/>
                <w:color w:val="000000"/>
                <w:kern w:val="0"/>
                <w:sz w:val="20"/>
                <w:szCs w:val="20"/>
              </w:rPr>
              <w:t>8.</w:t>
            </w:r>
            <w:r>
              <w:rPr>
                <w:rFonts w:ascii="Times New Roman" w:hAnsi="宋体"/>
                <w:color w:val="000000"/>
                <w:kern w:val="0"/>
                <w:sz w:val="20"/>
                <w:szCs w:val="20"/>
              </w:rPr>
              <w:t>属于行政查询事项</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316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r>
      <w:tr>
        <w:tblPrEx>
          <w:shd w:val="clear" w:color="auto" w:fill="FFFFFF" w:themeFill="background1"/>
          <w:tblCellMar>
            <w:top w:w="15" w:type="dxa"/>
            <w:left w:w="15" w:type="dxa"/>
            <w:bottom w:w="15" w:type="dxa"/>
            <w:right w:w="15"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798"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left"/>
              <w:rPr>
                <w:rFonts w:ascii="Times New Roman" w:hAnsi="Times New Roman"/>
                <w:color w:val="000000"/>
                <w:kern w:val="0"/>
                <w:sz w:val="24"/>
              </w:rPr>
            </w:pPr>
            <w:r>
              <w:rPr>
                <w:rFonts w:ascii="Times New Roman" w:hAnsi="宋体"/>
                <w:color w:val="000000"/>
                <w:kern w:val="0"/>
                <w:sz w:val="20"/>
                <w:szCs w:val="20"/>
              </w:rPr>
              <w:t>（四）无法提供</w:t>
            </w:r>
          </w:p>
        </w:tc>
        <w:tc>
          <w:tcPr>
            <w:tcW w:w="151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tcPr>
          <w:p>
            <w:pPr>
              <w:widowControl/>
              <w:jc w:val="left"/>
              <w:rPr>
                <w:rFonts w:ascii="Times New Roman" w:hAnsi="Times New Roman"/>
                <w:color w:val="000000"/>
                <w:kern w:val="0"/>
                <w:sz w:val="24"/>
              </w:rPr>
            </w:pPr>
            <w:r>
              <w:rPr>
                <w:rFonts w:ascii="Times New Roman" w:hAnsi="Times New Roman"/>
                <w:color w:val="000000"/>
                <w:kern w:val="0"/>
                <w:sz w:val="20"/>
                <w:szCs w:val="20"/>
              </w:rPr>
              <w:t>1.</w:t>
            </w:r>
            <w:r>
              <w:rPr>
                <w:rFonts w:ascii="Times New Roman" w:hAnsi="宋体"/>
                <w:color w:val="000000"/>
                <w:kern w:val="0"/>
                <w:sz w:val="20"/>
                <w:szCs w:val="20"/>
              </w:rPr>
              <w:t>本机关不掌握相关政府信息</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316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r>
      <w:tr>
        <w:tblPrEx>
          <w:shd w:val="clear" w:color="auto" w:fill="FFFFFF" w:themeFill="background1"/>
          <w:tblCellMar>
            <w:top w:w="15" w:type="dxa"/>
            <w:left w:w="15" w:type="dxa"/>
            <w:bottom w:w="15" w:type="dxa"/>
            <w:right w:w="15"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151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tcPr>
          <w:p>
            <w:pPr>
              <w:widowControl/>
              <w:jc w:val="left"/>
              <w:rPr>
                <w:rFonts w:ascii="Times New Roman" w:hAnsi="Times New Roman"/>
                <w:color w:val="000000"/>
                <w:kern w:val="0"/>
                <w:sz w:val="24"/>
              </w:rPr>
            </w:pPr>
            <w:r>
              <w:rPr>
                <w:rFonts w:ascii="Times New Roman" w:hAnsi="Times New Roman"/>
                <w:color w:val="000000"/>
                <w:kern w:val="0"/>
                <w:sz w:val="20"/>
                <w:szCs w:val="20"/>
              </w:rPr>
              <w:t>2.</w:t>
            </w:r>
            <w:r>
              <w:rPr>
                <w:rFonts w:ascii="Times New Roman" w:hAnsi="宋体"/>
                <w:color w:val="000000"/>
                <w:kern w:val="0"/>
                <w:sz w:val="20"/>
                <w:szCs w:val="20"/>
              </w:rPr>
              <w:t>没有现成信息需要另行制作</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316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r>
      <w:tr>
        <w:tblPrEx>
          <w:shd w:val="clear" w:color="auto" w:fill="FFFFFF" w:themeFill="background1"/>
          <w:tblCellMar>
            <w:top w:w="15" w:type="dxa"/>
            <w:left w:w="15" w:type="dxa"/>
            <w:bottom w:w="15" w:type="dxa"/>
            <w:right w:w="15"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151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tcPr>
          <w:p>
            <w:pPr>
              <w:widowControl/>
              <w:jc w:val="left"/>
              <w:rPr>
                <w:rFonts w:ascii="Times New Roman" w:hAnsi="Times New Roman"/>
                <w:color w:val="000000"/>
                <w:kern w:val="0"/>
                <w:sz w:val="24"/>
              </w:rPr>
            </w:pPr>
            <w:r>
              <w:rPr>
                <w:rFonts w:ascii="Times New Roman" w:hAnsi="Times New Roman"/>
                <w:color w:val="000000"/>
                <w:kern w:val="0"/>
                <w:sz w:val="20"/>
                <w:szCs w:val="20"/>
              </w:rPr>
              <w:t>3.</w:t>
            </w:r>
            <w:r>
              <w:rPr>
                <w:rFonts w:ascii="Times New Roman" w:hAnsi="宋体"/>
                <w:color w:val="000000"/>
                <w:kern w:val="0"/>
                <w:sz w:val="20"/>
                <w:szCs w:val="20"/>
              </w:rPr>
              <w:t>补正后申请内容仍不明确</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316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r>
      <w:tr>
        <w:tblPrEx>
          <w:shd w:val="clear" w:color="auto" w:fill="FFFFFF" w:themeFill="background1"/>
          <w:tblCellMar>
            <w:top w:w="15" w:type="dxa"/>
            <w:left w:w="15" w:type="dxa"/>
            <w:bottom w:w="15" w:type="dxa"/>
            <w:right w:w="15"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798"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left"/>
              <w:rPr>
                <w:rFonts w:ascii="Times New Roman" w:hAnsi="Times New Roman"/>
                <w:color w:val="000000"/>
                <w:kern w:val="0"/>
                <w:sz w:val="24"/>
              </w:rPr>
            </w:pPr>
            <w:r>
              <w:rPr>
                <w:rFonts w:ascii="Times New Roman" w:hAnsi="宋体"/>
                <w:color w:val="000000"/>
                <w:kern w:val="0"/>
                <w:sz w:val="20"/>
                <w:szCs w:val="20"/>
              </w:rPr>
              <w:t>（五）不予处理</w:t>
            </w:r>
          </w:p>
        </w:tc>
        <w:tc>
          <w:tcPr>
            <w:tcW w:w="151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tcPr>
          <w:p>
            <w:pPr>
              <w:widowControl/>
              <w:jc w:val="left"/>
              <w:rPr>
                <w:rFonts w:ascii="Times New Roman" w:hAnsi="Times New Roman"/>
                <w:color w:val="000000"/>
                <w:kern w:val="0"/>
                <w:sz w:val="24"/>
              </w:rPr>
            </w:pPr>
            <w:r>
              <w:rPr>
                <w:rFonts w:ascii="Times New Roman" w:hAnsi="Times New Roman"/>
                <w:color w:val="000000"/>
                <w:kern w:val="0"/>
                <w:sz w:val="20"/>
                <w:szCs w:val="20"/>
              </w:rPr>
              <w:t>1.</w:t>
            </w:r>
            <w:r>
              <w:rPr>
                <w:rFonts w:ascii="Times New Roman" w:hAnsi="宋体"/>
                <w:color w:val="000000"/>
                <w:kern w:val="0"/>
                <w:sz w:val="20"/>
                <w:szCs w:val="20"/>
              </w:rPr>
              <w:t>信访举报投诉类申请</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316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r>
      <w:tr>
        <w:tblPrEx>
          <w:shd w:val="clear" w:color="auto" w:fill="FFFFFF" w:themeFill="background1"/>
          <w:tblCellMar>
            <w:top w:w="15" w:type="dxa"/>
            <w:left w:w="15" w:type="dxa"/>
            <w:bottom w:w="15" w:type="dxa"/>
            <w:right w:w="15"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151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tcPr>
          <w:p>
            <w:pPr>
              <w:widowControl/>
              <w:jc w:val="left"/>
              <w:rPr>
                <w:rFonts w:ascii="Times New Roman" w:hAnsi="Times New Roman"/>
                <w:color w:val="000000"/>
                <w:kern w:val="0"/>
                <w:sz w:val="24"/>
              </w:rPr>
            </w:pPr>
            <w:r>
              <w:rPr>
                <w:rFonts w:ascii="Times New Roman" w:hAnsi="Times New Roman"/>
                <w:color w:val="000000"/>
                <w:kern w:val="0"/>
                <w:sz w:val="20"/>
                <w:szCs w:val="20"/>
              </w:rPr>
              <w:t>2.</w:t>
            </w:r>
            <w:r>
              <w:rPr>
                <w:rFonts w:ascii="Times New Roman" w:hAnsi="宋体"/>
                <w:color w:val="000000"/>
                <w:kern w:val="0"/>
                <w:sz w:val="20"/>
                <w:szCs w:val="20"/>
              </w:rPr>
              <w:t>重复申请</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316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r>
      <w:tr>
        <w:tblPrEx>
          <w:shd w:val="clear" w:color="auto" w:fill="FFFFFF" w:themeFill="background1"/>
          <w:tblCellMar>
            <w:top w:w="15" w:type="dxa"/>
            <w:left w:w="15" w:type="dxa"/>
            <w:bottom w:w="15" w:type="dxa"/>
            <w:right w:w="15"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151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tcPr>
          <w:p>
            <w:pPr>
              <w:widowControl/>
              <w:jc w:val="left"/>
              <w:rPr>
                <w:rFonts w:ascii="Times New Roman" w:hAnsi="Times New Roman"/>
                <w:color w:val="000000"/>
                <w:kern w:val="0"/>
                <w:sz w:val="24"/>
              </w:rPr>
            </w:pPr>
            <w:r>
              <w:rPr>
                <w:rFonts w:ascii="Times New Roman" w:hAnsi="Times New Roman"/>
                <w:color w:val="000000"/>
                <w:kern w:val="0"/>
                <w:sz w:val="20"/>
                <w:szCs w:val="20"/>
              </w:rPr>
              <w:t>3.</w:t>
            </w:r>
            <w:r>
              <w:rPr>
                <w:rFonts w:ascii="Times New Roman" w:hAnsi="宋体"/>
                <w:color w:val="000000"/>
                <w:kern w:val="0"/>
                <w:sz w:val="20"/>
                <w:szCs w:val="20"/>
              </w:rPr>
              <w:t>要求提供公开出版物</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316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r>
      <w:tr>
        <w:tblPrEx>
          <w:shd w:val="clear" w:color="auto" w:fill="FFFFFF" w:themeFill="background1"/>
          <w:tblCellMar>
            <w:top w:w="15" w:type="dxa"/>
            <w:left w:w="15" w:type="dxa"/>
            <w:bottom w:w="15" w:type="dxa"/>
            <w:right w:w="15"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151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tcPr>
          <w:p>
            <w:pPr>
              <w:widowControl/>
              <w:jc w:val="left"/>
              <w:rPr>
                <w:rFonts w:ascii="Times New Roman" w:hAnsi="Times New Roman"/>
                <w:color w:val="000000"/>
                <w:kern w:val="0"/>
                <w:sz w:val="24"/>
              </w:rPr>
            </w:pPr>
            <w:r>
              <w:rPr>
                <w:rFonts w:ascii="Times New Roman" w:hAnsi="Times New Roman"/>
                <w:color w:val="000000"/>
                <w:kern w:val="0"/>
                <w:sz w:val="20"/>
                <w:szCs w:val="20"/>
              </w:rPr>
              <w:t>4.</w:t>
            </w:r>
            <w:r>
              <w:rPr>
                <w:rFonts w:ascii="Times New Roman" w:hAnsi="宋体"/>
                <w:color w:val="000000"/>
                <w:kern w:val="0"/>
                <w:sz w:val="20"/>
                <w:szCs w:val="20"/>
              </w:rPr>
              <w:t>无正当理由大量反复申请</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316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r>
      <w:tr>
        <w:tblPrEx>
          <w:shd w:val="clear" w:color="auto" w:fill="FFFFFF" w:themeFill="background1"/>
          <w:tblCellMar>
            <w:top w:w="15" w:type="dxa"/>
            <w:left w:w="15" w:type="dxa"/>
            <w:bottom w:w="15" w:type="dxa"/>
            <w:right w:w="15" w:type="dxa"/>
          </w:tblCellMar>
        </w:tblPrEx>
        <w:trPr>
          <w:trHeight w:val="779"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151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rPr>
                <w:rFonts w:ascii="Times New Roman" w:hAnsi="Times New Roman"/>
                <w:color w:val="000000"/>
                <w:kern w:val="0"/>
                <w:sz w:val="24"/>
              </w:rPr>
            </w:pPr>
            <w:r>
              <w:rPr>
                <w:rFonts w:ascii="Times New Roman" w:hAnsi="Times New Roman"/>
                <w:color w:val="000000"/>
                <w:kern w:val="0"/>
                <w:sz w:val="20"/>
                <w:szCs w:val="20"/>
              </w:rPr>
              <w:t>5.</w:t>
            </w:r>
            <w:r>
              <w:rPr>
                <w:rFonts w:ascii="Times New Roman" w:hAnsi="宋体"/>
                <w:color w:val="000000"/>
                <w:kern w:val="0"/>
                <w:sz w:val="20"/>
                <w:szCs w:val="20"/>
              </w:rPr>
              <w:t>要求行政机关确认或重新出具已获取信息</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316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r>
      <w:tr>
        <w:tblPrEx>
          <w:shd w:val="clear" w:color="auto" w:fill="FFFFFF" w:themeFill="background1"/>
          <w:tblCellMar>
            <w:top w:w="15" w:type="dxa"/>
            <w:left w:w="15" w:type="dxa"/>
            <w:bottom w:w="15" w:type="dxa"/>
            <w:right w:w="15"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798"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left"/>
              <w:rPr>
                <w:rFonts w:ascii="Times New Roman" w:hAnsi="Times New Roman"/>
                <w:color w:val="000000"/>
                <w:kern w:val="0"/>
                <w:sz w:val="24"/>
              </w:rPr>
            </w:pPr>
            <w:r>
              <w:rPr>
                <w:rFonts w:ascii="Times New Roman" w:hAnsi="宋体"/>
                <w:color w:val="000000"/>
                <w:kern w:val="0"/>
                <w:sz w:val="20"/>
                <w:szCs w:val="20"/>
              </w:rPr>
              <w:t>（六）其他处理</w:t>
            </w:r>
          </w:p>
        </w:tc>
        <w:tc>
          <w:tcPr>
            <w:tcW w:w="151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rPr>
                <w:rFonts w:ascii="Times New Roman" w:hAnsi="Times New Roman"/>
                <w:color w:val="000000"/>
                <w:kern w:val="0"/>
                <w:sz w:val="24"/>
              </w:rPr>
            </w:pPr>
            <w:r>
              <w:rPr>
                <w:rFonts w:ascii="Times New Roman" w:hAnsi="Times New Roman"/>
                <w:color w:val="000000"/>
                <w:kern w:val="0"/>
                <w:sz w:val="20"/>
                <w:szCs w:val="20"/>
              </w:rPr>
              <w:t>1.</w:t>
            </w:r>
            <w:r>
              <w:rPr>
                <w:rFonts w:ascii="Times New Roman" w:hAnsi="宋体"/>
                <w:color w:val="000000"/>
                <w:kern w:val="0"/>
                <w:sz w:val="20"/>
                <w:szCs w:val="20"/>
              </w:rPr>
              <w:t>申请人无正当理由逾期不补正、行政机关不再处理其政府信息公开申请</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316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r>
      <w:tr>
        <w:tblPrEx>
          <w:shd w:val="clear" w:color="auto" w:fill="FFFFFF" w:themeFill="background1"/>
          <w:tblCellMar>
            <w:top w:w="15" w:type="dxa"/>
            <w:left w:w="15" w:type="dxa"/>
            <w:bottom w:w="15" w:type="dxa"/>
            <w:right w:w="15"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151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rPr>
                <w:rFonts w:ascii="Times New Roman" w:hAnsi="Times New Roman"/>
                <w:color w:val="000000"/>
                <w:kern w:val="0"/>
                <w:sz w:val="24"/>
              </w:rPr>
            </w:pPr>
            <w:r>
              <w:rPr>
                <w:rFonts w:ascii="Times New Roman" w:hAnsi="Times New Roman"/>
                <w:color w:val="000000"/>
                <w:kern w:val="0"/>
                <w:sz w:val="20"/>
                <w:szCs w:val="20"/>
              </w:rPr>
              <w:t>2.</w:t>
            </w:r>
            <w:r>
              <w:rPr>
                <w:rFonts w:ascii="Times New Roman" w:hAnsi="宋体"/>
                <w:color w:val="000000"/>
                <w:kern w:val="0"/>
                <w:sz w:val="20"/>
                <w:szCs w:val="20"/>
              </w:rPr>
              <w:t>申请人逾期未按收费通知要求缴纳费用、行政机关不再处理其政府信息公开申请</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316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r>
      <w:tr>
        <w:tblPrEx>
          <w:shd w:val="clear" w:color="auto" w:fill="FFFFFF" w:themeFill="background1"/>
          <w:tblCellMar>
            <w:top w:w="15" w:type="dxa"/>
            <w:left w:w="15" w:type="dxa"/>
            <w:bottom w:w="15" w:type="dxa"/>
            <w:right w:w="15"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151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left"/>
              <w:rPr>
                <w:rFonts w:ascii="Times New Roman" w:hAnsi="Times New Roman"/>
                <w:color w:val="000000"/>
                <w:kern w:val="0"/>
                <w:sz w:val="24"/>
              </w:rPr>
            </w:pPr>
            <w:r>
              <w:rPr>
                <w:rFonts w:ascii="Times New Roman" w:hAnsi="Times New Roman"/>
                <w:color w:val="000000"/>
                <w:kern w:val="0"/>
                <w:sz w:val="20"/>
                <w:szCs w:val="20"/>
              </w:rPr>
              <w:t>3.</w:t>
            </w:r>
            <w:r>
              <w:rPr>
                <w:rFonts w:ascii="Times New Roman" w:hAnsi="宋体"/>
                <w:color w:val="000000"/>
                <w:kern w:val="0"/>
                <w:sz w:val="20"/>
                <w:szCs w:val="20"/>
              </w:rPr>
              <w:t>其他</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316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r>
      <w:tr>
        <w:tblPrEx>
          <w:tblCellMar>
            <w:top w:w="15" w:type="dxa"/>
            <w:left w:w="15" w:type="dxa"/>
            <w:bottom w:w="15" w:type="dxa"/>
            <w:right w:w="15"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Times New Roman" w:hAnsi="Times New Roman"/>
                <w:color w:val="000000"/>
                <w:kern w:val="0"/>
                <w:sz w:val="24"/>
              </w:rPr>
            </w:pPr>
          </w:p>
        </w:tc>
        <w:tc>
          <w:tcPr>
            <w:tcW w:w="2314"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left"/>
              <w:rPr>
                <w:rFonts w:ascii="Times New Roman" w:hAnsi="Times New Roman"/>
                <w:color w:val="000000"/>
                <w:kern w:val="0"/>
                <w:sz w:val="24"/>
              </w:rPr>
            </w:pPr>
            <w:r>
              <w:rPr>
                <w:rFonts w:ascii="Times New Roman" w:hAnsi="宋体"/>
                <w:color w:val="000000"/>
                <w:kern w:val="0"/>
                <w:sz w:val="20"/>
                <w:szCs w:val="20"/>
              </w:rPr>
              <w:t>（七）总计</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316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r>
      <w:tr>
        <w:tblPrEx>
          <w:tblCellMar>
            <w:top w:w="15" w:type="dxa"/>
            <w:left w:w="15" w:type="dxa"/>
            <w:bottom w:w="15" w:type="dxa"/>
            <w:right w:w="15" w:type="dxa"/>
          </w:tblCellMar>
        </w:tblPrEx>
        <w:tc>
          <w:tcPr>
            <w:tcW w:w="2921"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left"/>
              <w:rPr>
                <w:rFonts w:ascii="Times New Roman" w:hAnsi="Times New Roman"/>
                <w:color w:val="000000"/>
                <w:kern w:val="0"/>
                <w:sz w:val="24"/>
              </w:rPr>
            </w:pPr>
            <w:r>
              <w:rPr>
                <w:rFonts w:ascii="Times New Roman" w:hAnsi="宋体"/>
                <w:color w:val="000000"/>
                <w:kern w:val="0"/>
                <w:sz w:val="20"/>
                <w:szCs w:val="20"/>
              </w:rPr>
              <w:t>四、结转下年度继续办理</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5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3165"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57" w:type="dxa"/>
              <w:bottom w:w="0" w:type="dxa"/>
              <w:right w:w="57"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r>
    </w:tbl>
    <w:p>
      <w:pPr>
        <w:spacing w:line="540" w:lineRule="exact"/>
        <w:ind w:firstLine="640" w:firstLineChars="200"/>
        <w:rPr>
          <w:rFonts w:ascii="Times New Roman" w:hAnsi="Times New Roman" w:eastAsia="黑体"/>
          <w:kern w:val="0"/>
          <w:sz w:val="32"/>
          <w:szCs w:val="32"/>
        </w:rPr>
      </w:pPr>
    </w:p>
    <w:p>
      <w:pPr>
        <w:spacing w:line="54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四、政府信息公开行政复议、行政诉讼情况</w:t>
      </w:r>
    </w:p>
    <w:tbl>
      <w:tblPr>
        <w:tblStyle w:val="6"/>
        <w:tblW w:w="10156" w:type="dxa"/>
        <w:tblInd w:w="-459" w:type="dxa"/>
        <w:shd w:val="clear" w:color="auto" w:fill="FFFFFF" w:themeFill="background1"/>
        <w:tblLayout w:type="autofit"/>
        <w:tblCellMar>
          <w:top w:w="15" w:type="dxa"/>
          <w:left w:w="15" w:type="dxa"/>
          <w:bottom w:w="15" w:type="dxa"/>
          <w:right w:w="15" w:type="dxa"/>
        </w:tblCellMar>
      </w:tblPr>
      <w:tblGrid>
        <w:gridCol w:w="425"/>
        <w:gridCol w:w="709"/>
        <w:gridCol w:w="709"/>
        <w:gridCol w:w="537"/>
        <w:gridCol w:w="416"/>
        <w:gridCol w:w="816"/>
        <w:gridCol w:w="816"/>
        <w:gridCol w:w="816"/>
        <w:gridCol w:w="816"/>
        <w:gridCol w:w="416"/>
        <w:gridCol w:w="816"/>
        <w:gridCol w:w="816"/>
        <w:gridCol w:w="816"/>
        <w:gridCol w:w="816"/>
        <w:gridCol w:w="416"/>
      </w:tblGrid>
      <w:tr>
        <w:tblPrEx>
          <w:shd w:val="clear" w:color="auto" w:fill="FFFFFF" w:themeFill="background1"/>
        </w:tblPrEx>
        <w:tc>
          <w:tcPr>
            <w:tcW w:w="2796"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行政复议</w:t>
            </w:r>
          </w:p>
        </w:tc>
        <w:tc>
          <w:tcPr>
            <w:tcW w:w="7360" w:type="dxa"/>
            <w:gridSpan w:val="10"/>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行政诉讼</w:t>
            </w:r>
          </w:p>
        </w:tc>
      </w:tr>
      <w:tr>
        <w:tblPrEx>
          <w:tblCellMar>
            <w:top w:w="15" w:type="dxa"/>
            <w:left w:w="15" w:type="dxa"/>
            <w:bottom w:w="15" w:type="dxa"/>
            <w:right w:w="15" w:type="dxa"/>
          </w:tblCellMar>
        </w:tblPrEx>
        <w:tc>
          <w:tcPr>
            <w:tcW w:w="425" w:type="dxa"/>
            <w:vMerge w:val="restar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结果维持</w:t>
            </w:r>
          </w:p>
        </w:tc>
        <w:tc>
          <w:tcPr>
            <w:tcW w:w="709" w:type="dxa"/>
            <w:vMerge w:val="restar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0"/>
                <w:szCs w:val="20"/>
              </w:rPr>
            </w:pPr>
            <w:r>
              <w:rPr>
                <w:rFonts w:ascii="Times New Roman" w:hAnsi="宋体"/>
                <w:color w:val="000000"/>
                <w:kern w:val="0"/>
                <w:sz w:val="20"/>
                <w:szCs w:val="20"/>
              </w:rPr>
              <w:t>结</w:t>
            </w:r>
          </w:p>
          <w:p>
            <w:pPr>
              <w:widowControl/>
              <w:jc w:val="center"/>
              <w:rPr>
                <w:rFonts w:ascii="Times New Roman" w:hAnsi="Times New Roman"/>
                <w:color w:val="000000"/>
                <w:kern w:val="0"/>
                <w:sz w:val="20"/>
                <w:szCs w:val="20"/>
              </w:rPr>
            </w:pPr>
            <w:r>
              <w:rPr>
                <w:rFonts w:ascii="Times New Roman" w:hAnsi="宋体"/>
                <w:color w:val="000000"/>
                <w:kern w:val="0"/>
                <w:sz w:val="20"/>
                <w:szCs w:val="20"/>
              </w:rPr>
              <w:t>果</w:t>
            </w:r>
          </w:p>
          <w:p>
            <w:pPr>
              <w:widowControl/>
              <w:jc w:val="center"/>
              <w:rPr>
                <w:rFonts w:ascii="Times New Roman" w:hAnsi="Times New Roman"/>
                <w:color w:val="000000"/>
                <w:kern w:val="0"/>
                <w:sz w:val="20"/>
                <w:szCs w:val="20"/>
              </w:rPr>
            </w:pPr>
            <w:r>
              <w:rPr>
                <w:rFonts w:ascii="Times New Roman" w:hAnsi="宋体"/>
                <w:color w:val="000000"/>
                <w:kern w:val="0"/>
                <w:sz w:val="20"/>
                <w:szCs w:val="20"/>
              </w:rPr>
              <w:t>纠</w:t>
            </w:r>
          </w:p>
          <w:p>
            <w:pPr>
              <w:widowControl/>
              <w:jc w:val="center"/>
              <w:rPr>
                <w:rFonts w:ascii="Times New Roman" w:hAnsi="Times New Roman"/>
                <w:color w:val="000000"/>
                <w:kern w:val="0"/>
                <w:sz w:val="24"/>
              </w:rPr>
            </w:pPr>
            <w:r>
              <w:rPr>
                <w:rFonts w:ascii="Times New Roman" w:hAnsi="宋体"/>
                <w:color w:val="000000"/>
                <w:kern w:val="0"/>
                <w:sz w:val="20"/>
                <w:szCs w:val="20"/>
              </w:rPr>
              <w:t>正</w:t>
            </w:r>
          </w:p>
        </w:tc>
        <w:tc>
          <w:tcPr>
            <w:tcW w:w="709" w:type="dxa"/>
            <w:vMerge w:val="restar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0"/>
                <w:szCs w:val="20"/>
              </w:rPr>
            </w:pPr>
            <w:r>
              <w:rPr>
                <w:rFonts w:ascii="Times New Roman" w:hAnsi="宋体"/>
                <w:color w:val="000000"/>
                <w:kern w:val="0"/>
                <w:sz w:val="20"/>
                <w:szCs w:val="20"/>
              </w:rPr>
              <w:t>其</w:t>
            </w:r>
          </w:p>
          <w:p>
            <w:pPr>
              <w:widowControl/>
              <w:jc w:val="center"/>
              <w:rPr>
                <w:rFonts w:ascii="Times New Roman" w:hAnsi="Times New Roman"/>
                <w:color w:val="000000"/>
                <w:kern w:val="0"/>
                <w:sz w:val="20"/>
                <w:szCs w:val="20"/>
              </w:rPr>
            </w:pPr>
            <w:r>
              <w:rPr>
                <w:rFonts w:ascii="Times New Roman" w:hAnsi="宋体"/>
                <w:color w:val="000000"/>
                <w:kern w:val="0"/>
                <w:sz w:val="20"/>
                <w:szCs w:val="20"/>
              </w:rPr>
              <w:t>他</w:t>
            </w:r>
          </w:p>
          <w:p>
            <w:pPr>
              <w:widowControl/>
              <w:jc w:val="center"/>
              <w:rPr>
                <w:rFonts w:ascii="Times New Roman" w:hAnsi="Times New Roman"/>
                <w:color w:val="000000"/>
                <w:kern w:val="0"/>
                <w:sz w:val="20"/>
                <w:szCs w:val="20"/>
              </w:rPr>
            </w:pPr>
            <w:r>
              <w:rPr>
                <w:rFonts w:ascii="Times New Roman" w:hAnsi="宋体"/>
                <w:color w:val="000000"/>
                <w:kern w:val="0"/>
                <w:sz w:val="20"/>
                <w:szCs w:val="20"/>
              </w:rPr>
              <w:t>结</w:t>
            </w:r>
          </w:p>
          <w:p>
            <w:pPr>
              <w:widowControl/>
              <w:jc w:val="center"/>
              <w:rPr>
                <w:rFonts w:ascii="Times New Roman" w:hAnsi="Times New Roman"/>
                <w:color w:val="000000"/>
                <w:kern w:val="0"/>
                <w:sz w:val="24"/>
              </w:rPr>
            </w:pPr>
            <w:r>
              <w:rPr>
                <w:rFonts w:ascii="Times New Roman" w:hAnsi="宋体"/>
                <w:color w:val="000000"/>
                <w:kern w:val="0"/>
                <w:sz w:val="20"/>
                <w:szCs w:val="20"/>
              </w:rPr>
              <w:t>果</w:t>
            </w:r>
          </w:p>
        </w:tc>
        <w:tc>
          <w:tcPr>
            <w:tcW w:w="537" w:type="dxa"/>
            <w:vMerge w:val="restar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0"/>
                <w:szCs w:val="20"/>
              </w:rPr>
            </w:pPr>
            <w:r>
              <w:rPr>
                <w:rFonts w:ascii="Times New Roman" w:hAnsi="宋体"/>
                <w:color w:val="000000"/>
                <w:kern w:val="0"/>
                <w:sz w:val="20"/>
                <w:szCs w:val="20"/>
              </w:rPr>
              <w:t>尚</w:t>
            </w:r>
          </w:p>
          <w:p>
            <w:pPr>
              <w:widowControl/>
              <w:jc w:val="center"/>
              <w:rPr>
                <w:rFonts w:ascii="Times New Roman" w:hAnsi="Times New Roman"/>
                <w:color w:val="000000"/>
                <w:kern w:val="0"/>
                <w:sz w:val="20"/>
                <w:szCs w:val="20"/>
              </w:rPr>
            </w:pPr>
            <w:r>
              <w:rPr>
                <w:rFonts w:ascii="Times New Roman" w:hAnsi="宋体"/>
                <w:color w:val="000000"/>
                <w:kern w:val="0"/>
                <w:sz w:val="20"/>
                <w:szCs w:val="20"/>
              </w:rPr>
              <w:t>未</w:t>
            </w:r>
          </w:p>
          <w:p>
            <w:pPr>
              <w:widowControl/>
              <w:jc w:val="center"/>
              <w:rPr>
                <w:rFonts w:ascii="Times New Roman" w:hAnsi="Times New Roman"/>
                <w:color w:val="000000"/>
                <w:kern w:val="0"/>
                <w:sz w:val="20"/>
                <w:szCs w:val="20"/>
              </w:rPr>
            </w:pPr>
            <w:r>
              <w:rPr>
                <w:rFonts w:ascii="Times New Roman" w:hAnsi="宋体"/>
                <w:color w:val="000000"/>
                <w:kern w:val="0"/>
                <w:sz w:val="20"/>
                <w:szCs w:val="20"/>
              </w:rPr>
              <w:t>审</w:t>
            </w:r>
          </w:p>
          <w:p>
            <w:pPr>
              <w:widowControl/>
              <w:jc w:val="center"/>
              <w:rPr>
                <w:rFonts w:ascii="Times New Roman" w:hAnsi="Times New Roman"/>
                <w:color w:val="000000"/>
                <w:kern w:val="0"/>
                <w:sz w:val="24"/>
              </w:rPr>
            </w:pPr>
            <w:r>
              <w:rPr>
                <w:rFonts w:ascii="Times New Roman" w:hAnsi="宋体"/>
                <w:color w:val="000000"/>
                <w:kern w:val="0"/>
                <w:sz w:val="20"/>
                <w:szCs w:val="20"/>
              </w:rPr>
              <w:t>结</w:t>
            </w:r>
          </w:p>
        </w:tc>
        <w:tc>
          <w:tcPr>
            <w:tcW w:w="416" w:type="dxa"/>
            <w:vMerge w:val="restar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总计</w:t>
            </w:r>
          </w:p>
        </w:tc>
        <w:tc>
          <w:tcPr>
            <w:tcW w:w="3680"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未经复议直接起诉</w:t>
            </w:r>
          </w:p>
        </w:tc>
        <w:tc>
          <w:tcPr>
            <w:tcW w:w="3680"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复议后起诉</w:t>
            </w:r>
          </w:p>
        </w:tc>
      </w:tr>
      <w:tr>
        <w:tc>
          <w:tcPr>
            <w:tcW w:w="425" w:type="dxa"/>
            <w:vMerge w:val="continue"/>
            <w:tcBorders>
              <w:top w:val="nil"/>
              <w:left w:val="single" w:color="auto" w:sz="8" w:space="0"/>
              <w:bottom w:val="single" w:color="auto" w:sz="8" w:space="0"/>
              <w:right w:val="single" w:color="auto" w:sz="8" w:space="0"/>
            </w:tcBorders>
            <w:shd w:val="clear" w:color="auto" w:fill="FFFFFF" w:themeFill="background1"/>
            <w:vAlign w:val="center"/>
          </w:tcPr>
          <w:p>
            <w:pPr>
              <w:widowControl/>
              <w:jc w:val="left"/>
              <w:rPr>
                <w:rFonts w:ascii="Times New Roman" w:hAnsi="Times New Roman"/>
                <w:color w:val="000000"/>
                <w:kern w:val="0"/>
                <w:sz w:val="24"/>
              </w:rPr>
            </w:pPr>
          </w:p>
        </w:tc>
        <w:tc>
          <w:tcPr>
            <w:tcW w:w="709" w:type="dxa"/>
            <w:vMerge w:val="continue"/>
            <w:tcBorders>
              <w:top w:val="nil"/>
              <w:left w:val="single" w:color="auto" w:sz="8" w:space="0"/>
              <w:bottom w:val="single" w:color="auto" w:sz="8" w:space="0"/>
              <w:right w:val="single" w:color="auto" w:sz="8" w:space="0"/>
            </w:tcBorders>
            <w:shd w:val="clear" w:color="auto" w:fill="FFFFFF" w:themeFill="background1"/>
            <w:vAlign w:val="center"/>
          </w:tcPr>
          <w:p>
            <w:pPr>
              <w:widowControl/>
              <w:jc w:val="left"/>
              <w:rPr>
                <w:rFonts w:ascii="Times New Roman" w:hAnsi="Times New Roman"/>
                <w:color w:val="000000"/>
                <w:kern w:val="0"/>
                <w:sz w:val="24"/>
              </w:rPr>
            </w:pPr>
          </w:p>
        </w:tc>
        <w:tc>
          <w:tcPr>
            <w:tcW w:w="709"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vAlign w:val="center"/>
          </w:tcPr>
          <w:p>
            <w:pPr>
              <w:widowControl/>
              <w:jc w:val="left"/>
              <w:rPr>
                <w:rFonts w:ascii="Times New Roman" w:hAnsi="Times New Roman"/>
                <w:color w:val="000000"/>
                <w:kern w:val="0"/>
                <w:sz w:val="24"/>
              </w:rPr>
            </w:pPr>
          </w:p>
        </w:tc>
        <w:tc>
          <w:tcPr>
            <w:tcW w:w="537"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vAlign w:val="center"/>
          </w:tcPr>
          <w:p>
            <w:pPr>
              <w:widowControl/>
              <w:jc w:val="left"/>
              <w:rPr>
                <w:rFonts w:ascii="Times New Roman" w:hAnsi="Times New Roman"/>
                <w:color w:val="000000"/>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FFFFFF" w:themeFill="background1"/>
            <w:vAlign w:val="center"/>
          </w:tcPr>
          <w:p>
            <w:pPr>
              <w:widowControl/>
              <w:jc w:val="left"/>
              <w:rPr>
                <w:rFonts w:ascii="Times New Roman" w:hAnsi="Times New Roman"/>
                <w:color w:val="000000"/>
                <w:kern w:val="0"/>
                <w:sz w:val="24"/>
              </w:rPr>
            </w:pPr>
          </w:p>
        </w:tc>
        <w:tc>
          <w:tcPr>
            <w:tcW w:w="816"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0"/>
                <w:szCs w:val="20"/>
              </w:rPr>
            </w:pPr>
            <w:r>
              <w:rPr>
                <w:rFonts w:ascii="Times New Roman" w:hAnsi="宋体"/>
                <w:color w:val="000000"/>
                <w:kern w:val="0"/>
                <w:sz w:val="20"/>
                <w:szCs w:val="20"/>
              </w:rPr>
              <w:t>结</w:t>
            </w:r>
          </w:p>
          <w:p>
            <w:pPr>
              <w:widowControl/>
              <w:jc w:val="center"/>
              <w:rPr>
                <w:rFonts w:ascii="Times New Roman" w:hAnsi="Times New Roman"/>
                <w:color w:val="000000"/>
                <w:kern w:val="0"/>
                <w:sz w:val="24"/>
              </w:rPr>
            </w:pPr>
            <w:r>
              <w:rPr>
                <w:rFonts w:ascii="Times New Roman" w:hAnsi="宋体"/>
                <w:color w:val="000000"/>
                <w:kern w:val="0"/>
                <w:sz w:val="20"/>
                <w:szCs w:val="20"/>
              </w:rPr>
              <w:t>果</w:t>
            </w:r>
            <w:r>
              <w:rPr>
                <w:rFonts w:ascii="Times New Roman" w:hAnsi="Times New Roman"/>
                <w:color w:val="000000"/>
                <w:kern w:val="0"/>
                <w:sz w:val="20"/>
                <w:szCs w:val="20"/>
              </w:rPr>
              <w:t> </w:t>
            </w:r>
            <w:r>
              <w:rPr>
                <w:rFonts w:ascii="Times New Roman" w:hAnsi="宋体"/>
                <w:color w:val="000000"/>
                <w:kern w:val="0"/>
                <w:sz w:val="20"/>
                <w:szCs w:val="20"/>
              </w:rPr>
              <w:t>维持</w:t>
            </w:r>
          </w:p>
        </w:tc>
        <w:tc>
          <w:tcPr>
            <w:tcW w:w="816"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结果</w:t>
            </w:r>
            <w:r>
              <w:rPr>
                <w:rFonts w:ascii="Times New Roman" w:hAnsi="Times New Roman"/>
                <w:color w:val="000000"/>
                <w:kern w:val="0"/>
                <w:sz w:val="20"/>
                <w:szCs w:val="20"/>
              </w:rPr>
              <w:t> </w:t>
            </w:r>
            <w:r>
              <w:rPr>
                <w:rFonts w:ascii="Times New Roman" w:hAnsi="宋体"/>
                <w:color w:val="000000"/>
                <w:kern w:val="0"/>
                <w:sz w:val="20"/>
                <w:szCs w:val="20"/>
              </w:rPr>
              <w:t>纠正</w:t>
            </w:r>
          </w:p>
        </w:tc>
        <w:tc>
          <w:tcPr>
            <w:tcW w:w="816"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其他</w:t>
            </w:r>
            <w:r>
              <w:rPr>
                <w:rFonts w:ascii="Times New Roman" w:hAnsi="Times New Roman"/>
                <w:color w:val="000000"/>
                <w:kern w:val="0"/>
                <w:sz w:val="20"/>
                <w:szCs w:val="20"/>
              </w:rPr>
              <w:t> </w:t>
            </w:r>
            <w:r>
              <w:rPr>
                <w:rFonts w:ascii="Times New Roman" w:hAnsi="宋体"/>
                <w:color w:val="000000"/>
                <w:kern w:val="0"/>
                <w:sz w:val="20"/>
                <w:szCs w:val="20"/>
              </w:rPr>
              <w:t>结果</w:t>
            </w:r>
          </w:p>
        </w:tc>
        <w:tc>
          <w:tcPr>
            <w:tcW w:w="816"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尚未</w:t>
            </w:r>
            <w:r>
              <w:rPr>
                <w:rFonts w:ascii="Times New Roman" w:hAnsi="Times New Roman"/>
                <w:color w:val="000000"/>
                <w:kern w:val="0"/>
                <w:sz w:val="20"/>
                <w:szCs w:val="20"/>
              </w:rPr>
              <w:t> </w:t>
            </w:r>
            <w:r>
              <w:rPr>
                <w:rFonts w:ascii="Times New Roman" w:hAnsi="宋体"/>
                <w:color w:val="000000"/>
                <w:kern w:val="0"/>
                <w:sz w:val="20"/>
                <w:szCs w:val="20"/>
              </w:rPr>
              <w:t>审结</w:t>
            </w:r>
          </w:p>
        </w:tc>
        <w:tc>
          <w:tcPr>
            <w:tcW w:w="416"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总计</w:t>
            </w:r>
          </w:p>
        </w:tc>
        <w:tc>
          <w:tcPr>
            <w:tcW w:w="816"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结果</w:t>
            </w:r>
            <w:r>
              <w:rPr>
                <w:rFonts w:ascii="Times New Roman" w:hAnsi="Times New Roman"/>
                <w:color w:val="000000"/>
                <w:kern w:val="0"/>
                <w:sz w:val="20"/>
                <w:szCs w:val="20"/>
              </w:rPr>
              <w:t> </w:t>
            </w:r>
            <w:r>
              <w:rPr>
                <w:rFonts w:ascii="Times New Roman" w:hAnsi="宋体"/>
                <w:color w:val="000000"/>
                <w:kern w:val="0"/>
                <w:sz w:val="20"/>
                <w:szCs w:val="20"/>
              </w:rPr>
              <w:t>维持</w:t>
            </w:r>
          </w:p>
        </w:tc>
        <w:tc>
          <w:tcPr>
            <w:tcW w:w="816"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结果</w:t>
            </w:r>
            <w:r>
              <w:rPr>
                <w:rFonts w:ascii="Times New Roman" w:hAnsi="Times New Roman"/>
                <w:color w:val="000000"/>
                <w:kern w:val="0"/>
                <w:sz w:val="20"/>
                <w:szCs w:val="20"/>
              </w:rPr>
              <w:t> </w:t>
            </w:r>
            <w:r>
              <w:rPr>
                <w:rFonts w:ascii="Times New Roman" w:hAnsi="宋体"/>
                <w:color w:val="000000"/>
                <w:kern w:val="0"/>
                <w:sz w:val="20"/>
                <w:szCs w:val="20"/>
              </w:rPr>
              <w:t>纠正</w:t>
            </w:r>
          </w:p>
        </w:tc>
        <w:tc>
          <w:tcPr>
            <w:tcW w:w="816"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其他</w:t>
            </w:r>
            <w:r>
              <w:rPr>
                <w:rFonts w:ascii="Times New Roman" w:hAnsi="Times New Roman"/>
                <w:color w:val="000000"/>
                <w:kern w:val="0"/>
                <w:sz w:val="20"/>
                <w:szCs w:val="20"/>
              </w:rPr>
              <w:t> </w:t>
            </w:r>
            <w:r>
              <w:rPr>
                <w:rFonts w:ascii="Times New Roman" w:hAnsi="宋体"/>
                <w:color w:val="000000"/>
                <w:kern w:val="0"/>
                <w:sz w:val="20"/>
                <w:szCs w:val="20"/>
              </w:rPr>
              <w:t>结果</w:t>
            </w:r>
          </w:p>
        </w:tc>
        <w:tc>
          <w:tcPr>
            <w:tcW w:w="816"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尚未</w:t>
            </w:r>
            <w:r>
              <w:rPr>
                <w:rFonts w:ascii="Times New Roman" w:hAnsi="Times New Roman"/>
                <w:color w:val="000000"/>
                <w:kern w:val="0"/>
                <w:sz w:val="20"/>
                <w:szCs w:val="20"/>
              </w:rPr>
              <w:t> </w:t>
            </w:r>
            <w:r>
              <w:rPr>
                <w:rFonts w:ascii="Times New Roman" w:hAnsi="宋体"/>
                <w:color w:val="000000"/>
                <w:kern w:val="0"/>
                <w:sz w:val="20"/>
                <w:szCs w:val="20"/>
              </w:rPr>
              <w:t>审结</w:t>
            </w:r>
          </w:p>
        </w:tc>
        <w:tc>
          <w:tcPr>
            <w:tcW w:w="416"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宋体"/>
                <w:color w:val="000000"/>
                <w:kern w:val="0"/>
                <w:sz w:val="20"/>
                <w:szCs w:val="20"/>
              </w:rPr>
              <w:t>总计</w:t>
            </w:r>
          </w:p>
        </w:tc>
      </w:tr>
      <w:tr>
        <w:trPr>
          <w:trHeight w:val="672" w:hRule="atLeast"/>
        </w:trPr>
        <w:tc>
          <w:tcPr>
            <w:tcW w:w="425"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709"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709"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537"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16"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816"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816"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816"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816"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16"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816"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816"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816"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816"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24"/>
              </w:rPr>
            </w:pPr>
            <w:r>
              <w:rPr>
                <w:rFonts w:ascii="Times New Roman" w:hAnsi="Times New Roman"/>
                <w:color w:val="000000"/>
                <w:kern w:val="0"/>
                <w:sz w:val="20"/>
                <w:szCs w:val="20"/>
              </w:rPr>
              <w:t>0</w:t>
            </w:r>
          </w:p>
        </w:tc>
        <w:tc>
          <w:tcPr>
            <w:tcW w:w="416"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tcPr>
          <w:p>
            <w:pPr>
              <w:widowControl/>
              <w:jc w:val="center"/>
              <w:rPr>
                <w:rFonts w:ascii="Times New Roman" w:hAnsi="Times New Roman"/>
                <w:color w:val="000000"/>
                <w:kern w:val="0"/>
                <w:sz w:val="17"/>
                <w:szCs w:val="17"/>
              </w:rPr>
            </w:pPr>
            <w:r>
              <w:rPr>
                <w:rFonts w:ascii="Times New Roman" w:hAnsi="Times New Roman"/>
                <w:color w:val="000000"/>
                <w:kern w:val="0"/>
                <w:sz w:val="17"/>
                <w:szCs w:val="17"/>
              </w:rPr>
              <w:t>0</w:t>
            </w:r>
          </w:p>
        </w:tc>
      </w:tr>
    </w:tbl>
    <w:p>
      <w:pPr>
        <w:spacing w:line="540" w:lineRule="exact"/>
        <w:ind w:firstLine="640" w:firstLineChars="200"/>
        <w:rPr>
          <w:rFonts w:ascii="Times New Roman" w:hAnsi="Times New Roman" w:eastAsia="黑体"/>
          <w:kern w:val="0"/>
          <w:sz w:val="32"/>
          <w:szCs w:val="32"/>
        </w:rPr>
      </w:pPr>
    </w:p>
    <w:p>
      <w:pPr>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五、存在的主要问题及改进情况</w:t>
      </w:r>
    </w:p>
    <w:p>
      <w:pPr>
        <w:widowControl/>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镇政府信息公开工作推进有条不紊，稳中有进，但仍存在一些短板和不足：一是政府信息公开的思想站位有待提升。少数干部对实行政务公开的重要意义认识不足，工作被动应付、研究不够。二是政府信息公开的时效性有待增强。许多应事前公开的内容变成了事后公开，有的板块缺乏动态内容。三是公开工作队伍能力建设不够。政务公开部门参与度不足，梯队建设缓慢，</w:t>
      </w:r>
      <w:r>
        <w:rPr>
          <w:rFonts w:hint="eastAsia" w:ascii="Times New Roman" w:hAnsi="Times New Roman" w:eastAsia="仿宋_GB2312"/>
          <w:sz w:val="32"/>
          <w:szCs w:val="32"/>
          <w:lang w:eastAsia="zh-CN"/>
        </w:rPr>
        <w:t>对</w:t>
      </w:r>
      <w:bookmarkStart w:id="0" w:name="_GoBack"/>
      <w:bookmarkEnd w:id="0"/>
      <w:r>
        <w:rPr>
          <w:rFonts w:hint="eastAsia" w:ascii="Times New Roman" w:hAnsi="Times New Roman" w:eastAsia="仿宋_GB2312"/>
          <w:sz w:val="32"/>
          <w:szCs w:val="32"/>
        </w:rPr>
        <w:t>政务公开队伍培训</w:t>
      </w:r>
      <w:r>
        <w:rPr>
          <w:rFonts w:hint="eastAsia" w:ascii="Times New Roman" w:hAnsi="Times New Roman" w:eastAsia="仿宋_GB2312"/>
          <w:sz w:val="32"/>
          <w:szCs w:val="32"/>
          <w:lang w:eastAsia="zh-CN"/>
        </w:rPr>
        <w:t>较少</w:t>
      </w:r>
      <w:r>
        <w:rPr>
          <w:rFonts w:hint="eastAsia" w:ascii="Times New Roman" w:hAnsi="Times New Roman" w:eastAsia="仿宋_GB2312"/>
          <w:sz w:val="32"/>
          <w:szCs w:val="32"/>
        </w:rPr>
        <w:t>。</w:t>
      </w:r>
      <w:r>
        <w:rPr>
          <w:rFonts w:ascii="Times New Roman" w:hAnsi="Times New Roman" w:eastAsia="仿宋_GB2312"/>
          <w:sz w:val="32"/>
          <w:szCs w:val="32"/>
        </w:rPr>
        <w:t>在下步工作中，我们将从以下几个方面努力改进。</w:t>
      </w:r>
    </w:p>
    <w:p>
      <w:pPr>
        <w:widowControl/>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一是</w:t>
      </w:r>
      <w:r>
        <w:rPr>
          <w:rFonts w:hint="eastAsia" w:ascii="Times New Roman" w:hAnsi="Times New Roman" w:eastAsia="楷体_GB2312"/>
          <w:b/>
          <w:bCs/>
          <w:sz w:val="32"/>
          <w:szCs w:val="32"/>
        </w:rPr>
        <w:t>突出工作重点，加大公开力度。</w:t>
      </w:r>
      <w:r>
        <w:rPr>
          <w:rFonts w:hint="eastAsia" w:ascii="Times New Roman" w:hAnsi="Times New Roman" w:eastAsia="仿宋_GB2312"/>
          <w:sz w:val="32"/>
          <w:szCs w:val="32"/>
        </w:rPr>
        <w:t>在公开基本内容的基础上，重点公开与群众切身利益密切相关的事项，以及群众最关心、社会最敏感、反映最强烈的热点问题，重点围绕建设法治政府全面推进政务公开、围绕重点领域加大主动公开力度、围绕社会重大关切加强舆情回应三个方面拓宽政务公开的内容。</w:t>
      </w:r>
    </w:p>
    <w:p>
      <w:pPr>
        <w:widowControl/>
        <w:spacing w:line="560" w:lineRule="exact"/>
        <w:ind w:firstLine="643" w:firstLineChars="200"/>
        <w:rPr>
          <w:rFonts w:ascii="Times New Roman" w:hAnsi="Times New Roman" w:eastAsia="仿宋_GB2312"/>
          <w:sz w:val="32"/>
          <w:szCs w:val="32"/>
        </w:rPr>
      </w:pPr>
      <w:r>
        <w:rPr>
          <w:rFonts w:hint="eastAsia" w:ascii="Times New Roman" w:hAnsi="Times New Roman" w:eastAsia="楷体_GB2312"/>
          <w:b/>
          <w:bCs/>
          <w:sz w:val="32"/>
          <w:szCs w:val="32"/>
        </w:rPr>
        <w:t>二是完善公开机制，规范运作流程。</w:t>
      </w:r>
      <w:r>
        <w:rPr>
          <w:rFonts w:hint="eastAsia" w:ascii="Times New Roman" w:hAnsi="Times New Roman" w:eastAsia="仿宋_GB2312"/>
          <w:sz w:val="32"/>
          <w:szCs w:val="32"/>
        </w:rPr>
        <w:t>进一步建立长效工作机制，深化落实各项工作制度、工作责任制及措施，完善政府信息公开内容，提高政府信息公开时效性。切实抓好洪濑镇信息公开查阅点建设，不断拓宽公开渠道、创新公开办法、丰富公开形式，有效推进政务公开工作，</w:t>
      </w:r>
    </w:p>
    <w:p>
      <w:pPr>
        <w:widowControl/>
        <w:spacing w:line="560" w:lineRule="exact"/>
        <w:ind w:firstLine="643" w:firstLineChars="200"/>
        <w:rPr>
          <w:rFonts w:ascii="Times New Roman" w:hAnsi="Times New Roman" w:eastAsia="仿宋_GB2312"/>
          <w:sz w:val="32"/>
          <w:szCs w:val="32"/>
        </w:rPr>
      </w:pPr>
      <w:r>
        <w:rPr>
          <w:rFonts w:hint="eastAsia" w:ascii="Times New Roman" w:hAnsi="Times New Roman" w:eastAsia="楷体_GB2312"/>
          <w:b/>
          <w:bCs/>
          <w:sz w:val="32"/>
          <w:szCs w:val="32"/>
        </w:rPr>
        <w:t>三是配齐组织队伍，落实工作职责。</w:t>
      </w:r>
      <w:r>
        <w:rPr>
          <w:rFonts w:hint="eastAsia" w:ascii="Times New Roman" w:hAnsi="Times New Roman" w:eastAsia="仿宋_GB2312"/>
          <w:sz w:val="32"/>
          <w:szCs w:val="32"/>
        </w:rPr>
        <w:t>坚持把政务公开摆上重要议事日程，按照主要领导亲自抓，分管领导具体抓、各部门、站（所）各负其责抓落实的要求，周密安排部署，精心组织实施。督促各部门重视政务公开工作，通过多种形式充实政府信息。也为公众获取所需政府信息提供更多便利。定期召开政务公开工作部署会。全员参与，全面推进政府信息公开工作。</w:t>
      </w:r>
    </w:p>
    <w:p>
      <w:pPr>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六、需要说明的其他事项与附表</w:t>
      </w:r>
    </w:p>
    <w:p>
      <w:pPr>
        <w:spacing w:line="560" w:lineRule="exact"/>
        <w:ind w:firstLine="640" w:firstLineChars="200"/>
        <w:rPr>
          <w:rFonts w:ascii="Times New Roman" w:hAnsi="Times New Roman"/>
        </w:rPr>
      </w:pPr>
      <w:r>
        <w:rPr>
          <w:rFonts w:ascii="Times New Roman" w:hAnsi="Times New Roman" w:eastAsia="仿宋_GB2312"/>
          <w:kern w:val="0"/>
          <w:sz w:val="32"/>
          <w:szCs w:val="32"/>
        </w:rPr>
        <w:t>无。</w:t>
      </w:r>
    </w:p>
    <w:p>
      <w:pPr>
        <w:spacing w:line="560" w:lineRule="exact"/>
        <w:ind w:firstLine="420" w:firstLineChars="200"/>
        <w:rPr>
          <w:rFonts w:ascii="Times New Roman" w:hAnsi="Times New Roman"/>
        </w:rPr>
      </w:pPr>
    </w:p>
    <w:p>
      <w:pPr>
        <w:spacing w:line="560" w:lineRule="exact"/>
        <w:ind w:firstLine="627" w:firstLineChars="196"/>
        <w:rPr>
          <w:rFonts w:ascii="Times New Roman" w:hAnsi="Times New Roman" w:eastAsia="仿宋_GB2312"/>
          <w:sz w:val="32"/>
          <w:szCs w:val="32"/>
        </w:rPr>
      </w:pPr>
    </w:p>
    <w:p>
      <w:pPr>
        <w:spacing w:line="560" w:lineRule="exact"/>
        <w:ind w:firstLine="627" w:firstLineChars="196"/>
        <w:rPr>
          <w:rFonts w:ascii="Times New Roman" w:hAnsi="Times New Roman" w:eastAsia="仿宋_GB2312"/>
          <w:sz w:val="32"/>
          <w:szCs w:val="32"/>
        </w:rPr>
      </w:pPr>
    </w:p>
    <w:p>
      <w:pPr>
        <w:spacing w:line="560" w:lineRule="exact"/>
        <w:ind w:right="640" w:firstLine="4640" w:firstLineChars="1450"/>
        <w:rPr>
          <w:rFonts w:ascii="Times New Roman" w:hAnsi="Times New Roman" w:eastAsia="仿宋_GB2312"/>
          <w:sz w:val="32"/>
          <w:szCs w:val="32"/>
        </w:rPr>
      </w:pPr>
      <w:r>
        <w:rPr>
          <w:rFonts w:ascii="Times New Roman" w:hAnsi="Times New Roman" w:eastAsia="仿宋_GB2312"/>
          <w:sz w:val="32"/>
          <w:szCs w:val="32"/>
        </w:rPr>
        <w:t>南安市洪濑镇人民政府</w:t>
      </w:r>
    </w:p>
    <w:p>
      <w:pPr>
        <w:spacing w:line="560" w:lineRule="exact"/>
        <w:ind w:right="640" w:firstLine="5120" w:firstLineChars="1600"/>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3</w:t>
      </w:r>
      <w:r>
        <w:rPr>
          <w:rFonts w:ascii="Times New Roman" w:hAnsi="Times New Roman" w:eastAsia="仿宋_GB2312"/>
          <w:sz w:val="32"/>
          <w:szCs w:val="32"/>
        </w:rPr>
        <w:t>年1月</w:t>
      </w:r>
      <w:r>
        <w:rPr>
          <w:rFonts w:hint="eastAsia" w:ascii="Times New Roman" w:hAnsi="Times New Roman" w:eastAsia="仿宋_GB2312"/>
          <w:sz w:val="32"/>
          <w:szCs w:val="32"/>
        </w:rPr>
        <w:t>3</w:t>
      </w:r>
      <w:r>
        <w:rPr>
          <w:rFonts w:ascii="Times New Roman" w:hAnsi="Times New Roman" w:eastAsia="仿宋_GB2312"/>
          <w:sz w:val="32"/>
          <w:szCs w:val="32"/>
        </w:rPr>
        <w:t>日</w:t>
      </w:r>
    </w:p>
    <w:p>
      <w:pPr>
        <w:spacing w:line="560" w:lineRule="exact"/>
        <w:ind w:right="640"/>
        <w:rPr>
          <w:rFonts w:ascii="Times New Roman" w:hAnsi="Times New Roman" w:eastAsia="仿宋_GB2312"/>
          <w:sz w:val="32"/>
          <w:szCs w:val="32"/>
        </w:rPr>
      </w:pPr>
      <w:r>
        <w:rPr>
          <w:rFonts w:ascii="Times New Roman" w:hAnsi="Times New Roman" w:eastAsia="仿宋_GB2312"/>
          <w:sz w:val="32"/>
          <w:szCs w:val="32"/>
        </w:rPr>
        <w:t xml:space="preserve">    （此件主动公开）</w:t>
      </w:r>
    </w:p>
    <w:p>
      <w:pPr>
        <w:snapToGrid w:val="0"/>
        <w:spacing w:line="560" w:lineRule="exact"/>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hint="eastAsia"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560" w:lineRule="exact"/>
        <w:rPr>
          <w:rFonts w:ascii="Times New Roman" w:hAnsi="Times New Roman" w:eastAsia="仿宋_GB2312"/>
          <w:spacing w:val="-6"/>
          <w:sz w:val="28"/>
          <w:szCs w:val="28"/>
          <w:shd w:val="clear" w:color="auto" w:fill="FFFFFF"/>
        </w:rPr>
      </w:pPr>
    </w:p>
    <w:p>
      <w:pPr>
        <w:spacing w:line="560" w:lineRule="exact"/>
        <w:ind w:right="-1" w:firstLine="210" w:firstLineChars="100"/>
        <w:rPr>
          <w:rFonts w:ascii="Times New Roman" w:hAnsi="Times New Roman" w:eastAsia="仿宋_GB2312"/>
          <w:sz w:val="32"/>
          <w:szCs w:val="32"/>
        </w:rPr>
      </w:pPr>
      <w:r>
        <w:rPr>
          <w:rFonts w:ascii="Times New Roman" w:hAnsi="Times New Roman"/>
        </w:rPr>
        <w:pict>
          <v:line id="_x0000_s1026" o:spid="_x0000_s1026" o:spt="20" style="position:absolute;left:0pt;margin-left:0pt;margin-top:30.95pt;height:0pt;width:441pt;z-index:251659264;mso-width-relative:page;mso-height-relative:page;" coordsize="21600,21600">
            <v:path arrowok="t"/>
            <v:fill focussize="0,0"/>
            <v:stroke weight="0.5pt"/>
            <v:imagedata o:title=""/>
            <o:lock v:ext="edit"/>
          </v:line>
        </w:pict>
      </w:r>
      <w:r>
        <w:rPr>
          <w:rFonts w:ascii="Times New Roman" w:hAnsi="Times New Roman"/>
        </w:rPr>
        <w:pict>
          <v:line id="_x0000_s1027" o:spid="_x0000_s1027" o:spt="20" style="position:absolute;left:0pt;margin-left:0pt;margin-top:3.2pt;height:0pt;width:441pt;z-index:251660288;mso-width-relative:page;mso-height-relative:page;" coordsize="21600,21600">
            <v:path arrowok="t"/>
            <v:fill focussize="0,0"/>
            <v:stroke weight="0.5pt"/>
            <v:imagedata o:title=""/>
            <o:lock v:ext="edit"/>
          </v:line>
        </w:pict>
      </w:r>
      <w:r>
        <w:rPr>
          <w:rFonts w:ascii="Times New Roman" w:hAnsi="Times New Roman" w:eastAsia="仿宋_GB2312"/>
          <w:sz w:val="28"/>
          <w:szCs w:val="28"/>
        </w:rPr>
        <w:t xml:space="preserve">南安市洪濑镇人民政府办公室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202</w:t>
      </w:r>
      <w:r>
        <w:rPr>
          <w:rFonts w:hint="eastAsia" w:ascii="Times New Roman" w:hAnsi="Times New Roman" w:eastAsia="仿宋_GB2312"/>
          <w:sz w:val="28"/>
          <w:szCs w:val="28"/>
        </w:rPr>
        <w:t>3</w:t>
      </w:r>
      <w:r>
        <w:rPr>
          <w:rFonts w:ascii="Times New Roman" w:hAnsi="Times New Roman" w:eastAsia="仿宋_GB2312"/>
          <w:sz w:val="28"/>
          <w:szCs w:val="28"/>
        </w:rPr>
        <w:t>年1月</w:t>
      </w:r>
      <w:r>
        <w:rPr>
          <w:rFonts w:hint="eastAsia" w:ascii="Times New Roman" w:hAnsi="Times New Roman" w:eastAsia="仿宋_GB2312"/>
          <w:sz w:val="28"/>
          <w:szCs w:val="28"/>
        </w:rPr>
        <w:t>3</w:t>
      </w:r>
      <w:r>
        <w:rPr>
          <w:rFonts w:ascii="Times New Roman" w:hAnsi="Times New Roman" w:eastAsia="仿宋_GB2312"/>
          <w:sz w:val="28"/>
          <w:szCs w:val="28"/>
        </w:rPr>
        <w:t xml:space="preserve">日印发  </w:t>
      </w:r>
    </w:p>
    <w:sectPr>
      <w:headerReference r:id="rId3" w:type="default"/>
      <w:footerReference r:id="rId4" w:type="default"/>
      <w:footerReference r:id="rId5" w:type="even"/>
      <w:pgSz w:w="11906" w:h="16838"/>
      <w:pgMar w:top="1418" w:right="1588" w:bottom="141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4219"/>
      <w:docPartObj>
        <w:docPartGallery w:val="AutoText"/>
      </w:docPartObj>
    </w:sdtPr>
    <w:sdtEndPr>
      <w:rPr>
        <w:rFonts w:asciiTheme="minorEastAsia" w:hAnsiTheme="minorEastAsia" w:eastAsiaTheme="minorEastAsia"/>
        <w:sz w:val="28"/>
        <w:szCs w:val="28"/>
      </w:rPr>
    </w:sdtEndPr>
    <w:sdtContent>
      <w:p>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9 -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4223"/>
      <w:docPartObj>
        <w:docPartGallery w:val="AutoText"/>
      </w:docPartObj>
    </w:sdtPr>
    <w:sdtContent>
      <w:p>
        <w:pPr>
          <w:pStyle w:val="3"/>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M0Njc1ZTE2ZmZkMDMzOWVhMGE2NjBkNDg0NjVkNzMifQ=="/>
  </w:docVars>
  <w:rsids>
    <w:rsidRoot w:val="00AF5AEF"/>
    <w:rsid w:val="00033A71"/>
    <w:rsid w:val="00080D31"/>
    <w:rsid w:val="0010777B"/>
    <w:rsid w:val="001144A3"/>
    <w:rsid w:val="00121B57"/>
    <w:rsid w:val="00136E89"/>
    <w:rsid w:val="0014305E"/>
    <w:rsid w:val="001545D2"/>
    <w:rsid w:val="0016106D"/>
    <w:rsid w:val="00211711"/>
    <w:rsid w:val="00227E01"/>
    <w:rsid w:val="00235141"/>
    <w:rsid w:val="00296055"/>
    <w:rsid w:val="002C15BE"/>
    <w:rsid w:val="002E2B27"/>
    <w:rsid w:val="002F7E78"/>
    <w:rsid w:val="0034533B"/>
    <w:rsid w:val="003C4F95"/>
    <w:rsid w:val="003F5AB7"/>
    <w:rsid w:val="00420FBB"/>
    <w:rsid w:val="00447BCB"/>
    <w:rsid w:val="0047361A"/>
    <w:rsid w:val="004B199F"/>
    <w:rsid w:val="004B528E"/>
    <w:rsid w:val="004F37F8"/>
    <w:rsid w:val="004F77C3"/>
    <w:rsid w:val="005854BD"/>
    <w:rsid w:val="005940F1"/>
    <w:rsid w:val="005D4F5C"/>
    <w:rsid w:val="005D7981"/>
    <w:rsid w:val="005E2752"/>
    <w:rsid w:val="005E5C1C"/>
    <w:rsid w:val="005F58DB"/>
    <w:rsid w:val="00660754"/>
    <w:rsid w:val="006C3F6C"/>
    <w:rsid w:val="00703620"/>
    <w:rsid w:val="00704068"/>
    <w:rsid w:val="007040EB"/>
    <w:rsid w:val="00760968"/>
    <w:rsid w:val="007921D8"/>
    <w:rsid w:val="007B0C24"/>
    <w:rsid w:val="007D4560"/>
    <w:rsid w:val="00812BA8"/>
    <w:rsid w:val="00846965"/>
    <w:rsid w:val="00855671"/>
    <w:rsid w:val="00890212"/>
    <w:rsid w:val="00896C5E"/>
    <w:rsid w:val="008C72ED"/>
    <w:rsid w:val="00981321"/>
    <w:rsid w:val="00994B6A"/>
    <w:rsid w:val="009A1292"/>
    <w:rsid w:val="009A3815"/>
    <w:rsid w:val="009F46A0"/>
    <w:rsid w:val="00A25DF7"/>
    <w:rsid w:val="00A3599D"/>
    <w:rsid w:val="00A42B35"/>
    <w:rsid w:val="00A62D13"/>
    <w:rsid w:val="00A71A3E"/>
    <w:rsid w:val="00A9354B"/>
    <w:rsid w:val="00A93976"/>
    <w:rsid w:val="00AF5AEF"/>
    <w:rsid w:val="00B13FCF"/>
    <w:rsid w:val="00B26EDF"/>
    <w:rsid w:val="00B77AAB"/>
    <w:rsid w:val="00BA6D39"/>
    <w:rsid w:val="00BB4C9F"/>
    <w:rsid w:val="00BC530B"/>
    <w:rsid w:val="00BD4168"/>
    <w:rsid w:val="00BD4C14"/>
    <w:rsid w:val="00BE4861"/>
    <w:rsid w:val="00BE6716"/>
    <w:rsid w:val="00C213CB"/>
    <w:rsid w:val="00C24B44"/>
    <w:rsid w:val="00C61904"/>
    <w:rsid w:val="00C746C9"/>
    <w:rsid w:val="00C76F4D"/>
    <w:rsid w:val="00C95BC7"/>
    <w:rsid w:val="00CB7B8C"/>
    <w:rsid w:val="00CB7ECA"/>
    <w:rsid w:val="00CC5E87"/>
    <w:rsid w:val="00D014C3"/>
    <w:rsid w:val="00D25AC3"/>
    <w:rsid w:val="00D41CC2"/>
    <w:rsid w:val="00DA7F2F"/>
    <w:rsid w:val="00DD1829"/>
    <w:rsid w:val="00DE3FE9"/>
    <w:rsid w:val="00E1703E"/>
    <w:rsid w:val="00E34AA4"/>
    <w:rsid w:val="00E435A5"/>
    <w:rsid w:val="00E635DB"/>
    <w:rsid w:val="00E8758F"/>
    <w:rsid w:val="00E91B60"/>
    <w:rsid w:val="00EB1CBD"/>
    <w:rsid w:val="00F12FCA"/>
    <w:rsid w:val="00F26974"/>
    <w:rsid w:val="00F3261E"/>
    <w:rsid w:val="00F34E10"/>
    <w:rsid w:val="00F41CA0"/>
    <w:rsid w:val="00F45125"/>
    <w:rsid w:val="00F77078"/>
    <w:rsid w:val="00F82D23"/>
    <w:rsid w:val="00F97778"/>
    <w:rsid w:val="00FB1F97"/>
    <w:rsid w:val="00FC0811"/>
    <w:rsid w:val="00FC78F7"/>
    <w:rsid w:val="18660430"/>
    <w:rsid w:val="1E3F75AF"/>
    <w:rsid w:val="2D6329A9"/>
    <w:rsid w:val="36527A5E"/>
    <w:rsid w:val="3863672B"/>
    <w:rsid w:val="4A6004E8"/>
    <w:rsid w:val="55B31E17"/>
    <w:rsid w:val="5BA04F0D"/>
    <w:rsid w:val="5FF71F36"/>
    <w:rsid w:val="62264F92"/>
    <w:rsid w:val="66EEEE8D"/>
    <w:rsid w:val="67F40DBD"/>
    <w:rsid w:val="6D270906"/>
    <w:rsid w:val="6EFC8462"/>
    <w:rsid w:val="6FBE7138"/>
    <w:rsid w:val="6FFBA841"/>
    <w:rsid w:val="6FFFB53E"/>
    <w:rsid w:val="72AD23D2"/>
    <w:rsid w:val="74950E60"/>
    <w:rsid w:val="766737D1"/>
    <w:rsid w:val="7DFBF20E"/>
    <w:rsid w:val="7EEB7C76"/>
    <w:rsid w:val="7FE7BDFC"/>
    <w:rsid w:val="A8B69FD7"/>
    <w:rsid w:val="BFFEB173"/>
    <w:rsid w:val="C15B4632"/>
    <w:rsid w:val="CCF63E55"/>
    <w:rsid w:val="ED52715F"/>
    <w:rsid w:val="EFDF3319"/>
    <w:rsid w:val="EFEB385C"/>
    <w:rsid w:val="F7E85561"/>
    <w:rsid w:val="FDD725F6"/>
    <w:rsid w:val="FE6F7E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HTML Variable"/>
    <w:basedOn w:val="7"/>
    <w:qFormat/>
    <w:uiPriority w:val="0"/>
  </w:style>
  <w:style w:type="character" w:styleId="9">
    <w:name w:val="Hyperlink"/>
    <w:basedOn w:val="7"/>
    <w:qFormat/>
    <w:uiPriority w:val="0"/>
    <w:rPr>
      <w:color w:val="0000FF" w:themeColor="hyperlink"/>
      <w:u w:val="single"/>
    </w:rPr>
  </w:style>
  <w:style w:type="paragraph" w:customStyle="1" w:styleId="10">
    <w:name w:val="p0"/>
    <w:basedOn w:val="1"/>
    <w:qFormat/>
    <w:uiPriority w:val="0"/>
    <w:pPr>
      <w:widowControl/>
    </w:pPr>
    <w:rPr>
      <w:kern w:val="0"/>
      <w:szCs w:val="31"/>
    </w:rPr>
  </w:style>
  <w:style w:type="paragraph" w:customStyle="1" w:styleId="11">
    <w:name w:val="p15"/>
    <w:basedOn w:val="1"/>
    <w:qFormat/>
    <w:uiPriority w:val="0"/>
    <w:pPr>
      <w:widowControl/>
    </w:pPr>
    <w:rPr>
      <w:kern w:val="0"/>
      <w:szCs w:val="31"/>
    </w:rPr>
  </w:style>
  <w:style w:type="character" w:customStyle="1" w:styleId="12">
    <w:name w:val="页眉 Char"/>
    <w:basedOn w:val="7"/>
    <w:link w:val="4"/>
    <w:qFormat/>
    <w:uiPriority w:val="0"/>
    <w:rPr>
      <w:rFonts w:ascii="Calibri" w:hAnsi="Calibri"/>
      <w:kern w:val="2"/>
      <w:sz w:val="18"/>
      <w:szCs w:val="18"/>
    </w:rPr>
  </w:style>
  <w:style w:type="character" w:customStyle="1" w:styleId="13">
    <w:name w:val="页脚 Char"/>
    <w:basedOn w:val="7"/>
    <w:link w:val="3"/>
    <w:qFormat/>
    <w:uiPriority w:val="99"/>
    <w:rPr>
      <w:rFonts w:ascii="Calibri" w:hAnsi="Calibri"/>
      <w:kern w:val="2"/>
      <w:sz w:val="18"/>
      <w:szCs w:val="18"/>
    </w:rPr>
  </w:style>
  <w:style w:type="character" w:customStyle="1" w:styleId="14">
    <w:name w:val="日期 Char"/>
    <w:basedOn w:val="7"/>
    <w:link w:val="2"/>
    <w:qFormat/>
    <w:uiPriority w:val="0"/>
    <w:rPr>
      <w:rFonts w:ascii="Calibri" w:hAnsi="Calibri"/>
      <w:kern w:val="2"/>
      <w:sz w:val="21"/>
      <w:szCs w:val="24"/>
    </w:rPr>
  </w:style>
  <w:style w:type="paragraph" w:styleId="15">
    <w:name w:val="List Paragraph"/>
    <w:basedOn w:val="1"/>
    <w:qFormat/>
    <w:uiPriority w:val="0"/>
    <w:pPr>
      <w:ind w:firstLine="420" w:firstLineChars="200"/>
    </w:pPr>
    <w:rPr>
      <w:rFonts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8</Pages>
  <Words>3421</Words>
  <Characters>3525</Characters>
  <Lines>28</Lines>
  <Paragraphs>8</Paragraphs>
  <TotalTime>8</TotalTime>
  <ScaleCrop>false</ScaleCrop>
  <LinksUpToDate>false</LinksUpToDate>
  <CharactersWithSpaces>3575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2023-01-04T01:20:00Z</dcterms:created>
  <dc:creator>kylin</dc:creator>
  <cp:lastModifiedBy>Ywenya</cp:lastModifiedBy>
  <cp:lastPrinted>2021-12-13T01:09:00Z</cp:lastPrinted>
  <dcterms:modified xsi:type="dcterms:W3CDTF">2023-01-04T01:29:01Z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C3613C1215264D0F814FDDF770A55006</vt:lpwstr>
  </property>
</Properties>
</file>