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F7" w:rsidRDefault="00E320F7" w:rsidP="001F4ACE">
      <w:pPr>
        <w:pStyle w:val="a"/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0281F">
        <w:rPr>
          <w:rFonts w:ascii="方正小标宋简体" w:eastAsia="方正小标宋简体" w:cs="方正小标宋简体" w:hint="eastAsia"/>
          <w:sz w:val="44"/>
          <w:szCs w:val="44"/>
        </w:rPr>
        <w:t>洪濑镇</w:t>
      </w:r>
      <w:r w:rsidRPr="0070281F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/>
          <w:sz w:val="44"/>
          <w:szCs w:val="44"/>
        </w:rPr>
        <w:t>9</w:t>
      </w:r>
      <w:r w:rsidRPr="0070281F">
        <w:rPr>
          <w:rFonts w:ascii="方正小标宋简体" w:eastAsia="方正小标宋简体" w:cs="方正小标宋简体" w:hint="eastAsia"/>
          <w:sz w:val="44"/>
          <w:szCs w:val="44"/>
        </w:rPr>
        <w:t>年度政府信息公开工作</w:t>
      </w:r>
    </w:p>
    <w:p w:rsidR="00E320F7" w:rsidRDefault="00E320F7" w:rsidP="001F4ACE">
      <w:pPr>
        <w:pStyle w:val="a"/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0281F">
        <w:rPr>
          <w:rFonts w:ascii="方正小标宋简体" w:eastAsia="方正小标宋简体" w:cs="方正小标宋简体" w:hint="eastAsia"/>
          <w:sz w:val="44"/>
          <w:szCs w:val="44"/>
        </w:rPr>
        <w:t>年度报告</w:t>
      </w:r>
    </w:p>
    <w:p w:rsidR="00E320F7" w:rsidRPr="0070281F" w:rsidRDefault="00E320F7" w:rsidP="001F4ACE">
      <w:pPr>
        <w:pStyle w:val="a"/>
        <w:spacing w:line="60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E320F7" w:rsidRPr="004F6C4A" w:rsidRDefault="00E320F7" w:rsidP="001F4ACE">
      <w:pPr>
        <w:spacing w:line="600" w:lineRule="exact"/>
        <w:ind w:firstLineChars="200" w:firstLine="31680"/>
        <w:rPr>
          <w:rFonts w:ascii="仿宋_GB2312" w:eastAsia="仿宋_GB2312" w:hAnsi="Batang"/>
          <w:kern w:val="0"/>
          <w:sz w:val="32"/>
          <w:szCs w:val="32"/>
        </w:rPr>
      </w:pP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根据《中华人民共和国政府信息公开条例》（以下简称《条例》）规定和《南安市人民政府办公室关于做好</w:t>
      </w:r>
      <w:r>
        <w:rPr>
          <w:rFonts w:ascii="仿宋_GB2312" w:eastAsia="仿宋_GB2312" w:hAnsi="Batang" w:cs="仿宋_GB2312" w:hint="eastAsia"/>
          <w:kern w:val="0"/>
          <w:sz w:val="32"/>
          <w:szCs w:val="32"/>
        </w:rPr>
        <w:t>政务公开各项工作的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通知》有关要求，现汇报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201</w:t>
      </w:r>
      <w:r>
        <w:rPr>
          <w:rFonts w:ascii="仿宋_GB2312" w:eastAsia="仿宋_GB2312" w:hAnsi="Batang" w:cs="仿宋_GB2312"/>
          <w:kern w:val="0"/>
          <w:sz w:val="32"/>
          <w:szCs w:val="32"/>
        </w:rPr>
        <w:t>9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年度洪濑镇政府信息公开工作年度报告如下。</w:t>
      </w:r>
    </w:p>
    <w:p w:rsidR="00E320F7" w:rsidRPr="001317B5" w:rsidRDefault="00E320F7" w:rsidP="001F4ACE">
      <w:pPr>
        <w:spacing w:line="600" w:lineRule="exact"/>
        <w:ind w:firstLineChars="200" w:firstLine="31680"/>
        <w:rPr>
          <w:rFonts w:ascii="仿宋_GB2312" w:eastAsia="仿宋_GB2312" w:hAnsi="Batang"/>
          <w:kern w:val="0"/>
          <w:sz w:val="32"/>
          <w:szCs w:val="32"/>
        </w:rPr>
      </w:pP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本年报由</w:t>
      </w:r>
      <w:r>
        <w:rPr>
          <w:rFonts w:ascii="仿宋_GB2312" w:eastAsia="仿宋_GB2312" w:hAnsi="Batang" w:cs="仿宋_GB2312" w:hint="eastAsia"/>
          <w:kern w:val="0"/>
          <w:sz w:val="32"/>
          <w:szCs w:val="32"/>
        </w:rPr>
        <w:t>总体情况，主动公开政府信息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情况，</w:t>
      </w:r>
      <w:r w:rsidRPr="001317B5">
        <w:rPr>
          <w:rFonts w:ascii="仿宋_GB2312" w:eastAsia="仿宋_GB2312" w:hAnsi="Batang" w:cs="仿宋_GB2312" w:hint="eastAsia"/>
          <w:kern w:val="0"/>
          <w:sz w:val="32"/>
          <w:szCs w:val="32"/>
        </w:rPr>
        <w:t>收到和处理政府信息公开申请情况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，</w:t>
      </w:r>
      <w:r w:rsidRPr="001317B5">
        <w:rPr>
          <w:rFonts w:ascii="仿宋_GB2312" w:eastAsia="仿宋_GB2312" w:hAnsi="Batang" w:cs="仿宋_GB2312" w:hint="eastAsia"/>
          <w:kern w:val="0"/>
          <w:sz w:val="32"/>
          <w:szCs w:val="32"/>
        </w:rPr>
        <w:t>政府信息公开行政复议、行政诉讼情况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，存在的主要问题及改进情况，</w:t>
      </w:r>
      <w:r w:rsidRPr="001317B5">
        <w:rPr>
          <w:rFonts w:ascii="仿宋_GB2312" w:eastAsia="仿宋_GB2312" w:hAnsi="Batang" w:cs="仿宋_GB2312" w:hint="eastAsia"/>
          <w:kern w:val="0"/>
          <w:sz w:val="32"/>
          <w:szCs w:val="32"/>
        </w:rPr>
        <w:t>需要说明的其他事项与附表</w:t>
      </w:r>
      <w:r>
        <w:rPr>
          <w:rFonts w:ascii="仿宋_GB2312" w:eastAsia="仿宋_GB2312" w:hAnsi="Batang" w:cs="仿宋_GB2312" w:hint="eastAsia"/>
          <w:kern w:val="0"/>
          <w:sz w:val="32"/>
          <w:szCs w:val="32"/>
        </w:rPr>
        <w:t>六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部分组成。本年报中所列数据的统计期限自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201</w:t>
      </w:r>
      <w:r>
        <w:rPr>
          <w:rFonts w:ascii="仿宋_GB2312" w:eastAsia="仿宋_GB2312" w:hAnsi="Batang" w:cs="仿宋_GB2312"/>
          <w:kern w:val="0"/>
          <w:sz w:val="32"/>
          <w:szCs w:val="32"/>
        </w:rPr>
        <w:t>9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年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1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月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1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日起至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201</w:t>
      </w:r>
      <w:r>
        <w:rPr>
          <w:rFonts w:ascii="仿宋_GB2312" w:eastAsia="仿宋_GB2312" w:hAnsi="Batang" w:cs="仿宋_GB2312"/>
          <w:kern w:val="0"/>
          <w:sz w:val="32"/>
          <w:szCs w:val="32"/>
        </w:rPr>
        <w:t>9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年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12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月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31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日止。本年报的电子版可在南安市人民政府门户网站（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http:// www.nanan.gov.cn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）下载。如对本年报有任何疑问，可与洪濑镇人民政府信息公开领导小组办公室联系（联系地址：洪濑镇党政办公室，邮编：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362331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，联系电话：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86682201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，电子邮箱：</w:t>
      </w:r>
      <w:r w:rsidRPr="004F6C4A">
        <w:rPr>
          <w:rFonts w:ascii="仿宋_GB2312" w:eastAsia="仿宋_GB2312" w:hAnsi="Batang" w:cs="仿宋_GB2312"/>
          <w:kern w:val="0"/>
          <w:sz w:val="32"/>
          <w:szCs w:val="32"/>
        </w:rPr>
        <w:t>hlz.201@163.com</w:t>
      </w:r>
      <w:r w:rsidRPr="004F6C4A">
        <w:rPr>
          <w:rFonts w:ascii="仿宋_GB2312" w:eastAsia="仿宋_GB2312" w:hAnsi="Batang" w:cs="仿宋_GB2312" w:hint="eastAsia"/>
          <w:kern w:val="0"/>
          <w:sz w:val="32"/>
          <w:szCs w:val="32"/>
        </w:rPr>
        <w:t>）。</w:t>
      </w:r>
    </w:p>
    <w:p w:rsidR="00E320F7" w:rsidRDefault="00E320F7" w:rsidP="001F4ACE">
      <w:pPr>
        <w:spacing w:line="600" w:lineRule="exact"/>
        <w:ind w:firstLineChars="200" w:firstLine="31680"/>
        <w:rPr>
          <w:rFonts w:ascii="黑体" w:eastAsia="黑体" w:hAnsi="Batang"/>
          <w:kern w:val="0"/>
          <w:sz w:val="32"/>
          <w:szCs w:val="32"/>
        </w:rPr>
      </w:pPr>
      <w:r w:rsidRPr="004F6C4A">
        <w:rPr>
          <w:rFonts w:ascii="黑体" w:eastAsia="黑体" w:hAnsi="Batang" w:cs="黑体" w:hint="eastAsia"/>
          <w:kern w:val="0"/>
          <w:sz w:val="32"/>
          <w:szCs w:val="32"/>
        </w:rPr>
        <w:t>一、总体情况</w:t>
      </w:r>
    </w:p>
    <w:p w:rsidR="00E320F7" w:rsidRDefault="00E320F7" w:rsidP="001F4ACE">
      <w:pPr>
        <w:spacing w:line="600" w:lineRule="exact"/>
        <w:ind w:firstLineChars="200" w:firstLine="31680"/>
        <w:rPr>
          <w:rFonts w:ascii="仿宋_GB2312" w:eastAsia="仿宋_GB2312" w:hAnsi="Batang"/>
          <w:kern w:val="0"/>
          <w:sz w:val="32"/>
          <w:szCs w:val="32"/>
        </w:rPr>
      </w:pPr>
      <w:r w:rsidRPr="00B13E1B">
        <w:rPr>
          <w:rFonts w:ascii="仿宋_GB2312" w:eastAsia="仿宋_GB2312" w:hAnsi="Batang" w:cs="仿宋_GB2312"/>
          <w:kern w:val="0"/>
          <w:sz w:val="32"/>
          <w:szCs w:val="32"/>
        </w:rPr>
        <w:t>201</w:t>
      </w:r>
      <w:r>
        <w:rPr>
          <w:rFonts w:ascii="仿宋_GB2312" w:eastAsia="仿宋_GB2312" w:hAnsi="Batang" w:cs="仿宋_GB2312"/>
          <w:kern w:val="0"/>
          <w:sz w:val="32"/>
          <w:szCs w:val="32"/>
        </w:rPr>
        <w:t>9</w:t>
      </w:r>
      <w:r w:rsidRPr="00B13E1B">
        <w:rPr>
          <w:rFonts w:ascii="仿宋_GB2312" w:eastAsia="仿宋_GB2312" w:hAnsi="Batang" w:cs="仿宋_GB2312" w:hint="eastAsia"/>
          <w:kern w:val="0"/>
          <w:sz w:val="32"/>
          <w:szCs w:val="32"/>
        </w:rPr>
        <w:t>年，洪濑镇人民政府政务公开工作在南安市委、市政府的正确领导下，严格按照《中华人民共和国政府信息公开条例》、《福建省政府信息公开办法》的要求，严格按照《</w:t>
      </w:r>
      <w:r w:rsidRPr="00B13E1B">
        <w:rPr>
          <w:rFonts w:ascii="仿宋_GB2312" w:eastAsia="仿宋_GB2312" w:hAnsi="Batang" w:cs="仿宋_GB2312"/>
          <w:kern w:val="0"/>
          <w:sz w:val="32"/>
          <w:szCs w:val="32"/>
        </w:rPr>
        <w:t>201</w:t>
      </w:r>
      <w:r>
        <w:rPr>
          <w:rFonts w:ascii="仿宋_GB2312" w:eastAsia="仿宋_GB2312" w:hAnsi="Batang" w:cs="仿宋_GB2312"/>
          <w:kern w:val="0"/>
          <w:sz w:val="32"/>
          <w:szCs w:val="32"/>
        </w:rPr>
        <w:t>9</w:t>
      </w:r>
      <w:r w:rsidRPr="00B13E1B">
        <w:rPr>
          <w:rFonts w:ascii="仿宋_GB2312" w:eastAsia="仿宋_GB2312" w:hAnsi="Batang" w:cs="仿宋_GB2312" w:hint="eastAsia"/>
          <w:kern w:val="0"/>
          <w:sz w:val="32"/>
          <w:szCs w:val="32"/>
        </w:rPr>
        <w:t>年南安市政务公开工作要点任务分解表》的范围和内容，推进重点领域信息公开，全面加强主动公开工作，建立健全制度机制，加强组织领导和机构队伍建设，政务公开工作水平不断提高。截至</w:t>
      </w:r>
      <w:r w:rsidRPr="00B13E1B">
        <w:rPr>
          <w:rFonts w:ascii="仿宋_GB2312" w:eastAsia="仿宋_GB2312" w:hAnsi="Batang" w:cs="仿宋_GB2312"/>
          <w:kern w:val="0"/>
          <w:sz w:val="32"/>
          <w:szCs w:val="32"/>
        </w:rPr>
        <w:t>201</w:t>
      </w:r>
      <w:r>
        <w:rPr>
          <w:rFonts w:ascii="仿宋_GB2312" w:eastAsia="仿宋_GB2312" w:hAnsi="Batang" w:cs="仿宋_GB2312"/>
          <w:kern w:val="0"/>
          <w:sz w:val="32"/>
          <w:szCs w:val="32"/>
        </w:rPr>
        <w:t>9</w:t>
      </w:r>
      <w:r w:rsidRPr="00B13E1B">
        <w:rPr>
          <w:rFonts w:ascii="仿宋_GB2312" w:eastAsia="仿宋_GB2312" w:hAnsi="Batang" w:cs="仿宋_GB2312" w:hint="eastAsia"/>
          <w:kern w:val="0"/>
          <w:sz w:val="32"/>
          <w:szCs w:val="32"/>
        </w:rPr>
        <w:t>年底，全镇政府信息公开工作运行正常，信息公开咨询、申请、载体、形式等方面均顺利开展。</w:t>
      </w:r>
    </w:p>
    <w:p w:rsidR="00E320F7" w:rsidRPr="004963DE" w:rsidRDefault="00E320F7" w:rsidP="001F4ACE">
      <w:pPr>
        <w:spacing w:line="600" w:lineRule="exact"/>
        <w:ind w:firstLineChars="200" w:firstLine="31680"/>
        <w:rPr>
          <w:rFonts w:ascii="楷体_GB2312" w:eastAsia="楷体_GB2312" w:hAnsi="Batang"/>
          <w:b/>
          <w:bCs/>
          <w:kern w:val="0"/>
          <w:sz w:val="32"/>
          <w:szCs w:val="32"/>
        </w:rPr>
      </w:pPr>
      <w:r w:rsidRPr="004963DE">
        <w:rPr>
          <w:rFonts w:ascii="楷体_GB2312" w:eastAsia="楷体_GB2312" w:hAnsi="Batang" w:cs="楷体_GB2312" w:hint="eastAsia"/>
          <w:b/>
          <w:bCs/>
          <w:kern w:val="0"/>
          <w:sz w:val="32"/>
          <w:szCs w:val="32"/>
        </w:rPr>
        <w:t>（一）主动公开情况</w:t>
      </w:r>
    </w:p>
    <w:p w:rsidR="00E320F7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F2094">
        <w:rPr>
          <w:rFonts w:ascii="仿宋_GB2312" w:eastAsia="仿宋_GB2312" w:cs="仿宋_GB2312" w:hint="eastAsia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12</w:t>
      </w:r>
      <w:r w:rsidRPr="005F2094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 w:rsidRPr="005F2094">
        <w:rPr>
          <w:rFonts w:ascii="仿宋_GB2312" w:eastAsia="仿宋_GB2312" w:cs="仿宋_GB2312" w:hint="eastAsia"/>
          <w:sz w:val="32"/>
          <w:szCs w:val="32"/>
        </w:rPr>
        <w:t>日，我镇</w:t>
      </w:r>
      <w:r w:rsidRPr="00B26DE3">
        <w:rPr>
          <w:rFonts w:ascii="仿宋_GB2312" w:eastAsia="仿宋_GB2312" w:cs="仿宋_GB2312" w:hint="eastAsia"/>
          <w:sz w:val="32"/>
          <w:szCs w:val="32"/>
        </w:rPr>
        <w:t>在“中国·南安”政府网站上</w:t>
      </w:r>
      <w:r w:rsidRPr="005F2094">
        <w:rPr>
          <w:rFonts w:ascii="仿宋_GB2312" w:eastAsia="仿宋_GB2312" w:cs="仿宋_GB2312" w:hint="eastAsia"/>
          <w:sz w:val="32"/>
          <w:szCs w:val="32"/>
        </w:rPr>
        <w:t>共主动公开政务</w:t>
      </w:r>
      <w:r>
        <w:rPr>
          <w:rFonts w:ascii="仿宋_GB2312" w:eastAsia="仿宋_GB2312" w:cs="仿宋_GB2312"/>
          <w:sz w:val="32"/>
          <w:szCs w:val="32"/>
        </w:rPr>
        <w:t>35</w:t>
      </w:r>
      <w:r w:rsidRPr="005F2094">
        <w:rPr>
          <w:rFonts w:ascii="仿宋_GB2312" w:eastAsia="仿宋_GB2312" w:cs="仿宋_GB2312" w:hint="eastAsia"/>
          <w:sz w:val="32"/>
          <w:szCs w:val="32"/>
        </w:rPr>
        <w:t>条，全文电子化率为</w:t>
      </w:r>
      <w:r w:rsidRPr="005F2094">
        <w:rPr>
          <w:rFonts w:ascii="仿宋_GB2312" w:eastAsia="仿宋_GB2312" w:cs="仿宋_GB2312"/>
          <w:sz w:val="32"/>
          <w:szCs w:val="32"/>
        </w:rPr>
        <w:t>100%</w:t>
      </w:r>
      <w:r w:rsidRPr="005F2094">
        <w:rPr>
          <w:rFonts w:ascii="仿宋_GB2312" w:eastAsia="仿宋_GB2312" w:cs="仿宋_GB2312" w:hint="eastAsia"/>
          <w:sz w:val="32"/>
          <w:szCs w:val="32"/>
        </w:rPr>
        <w:t>。其中机构职能类信息</w:t>
      </w:r>
      <w:r>
        <w:rPr>
          <w:rFonts w:ascii="仿宋_GB2312" w:eastAsia="仿宋_GB2312" w:cs="仿宋_GB2312"/>
          <w:sz w:val="32"/>
          <w:szCs w:val="32"/>
        </w:rPr>
        <w:t>1</w:t>
      </w:r>
      <w:r w:rsidRPr="005F2094">
        <w:rPr>
          <w:rFonts w:ascii="仿宋_GB2312" w:eastAsia="仿宋_GB2312" w:cs="仿宋_GB2312" w:hint="eastAsia"/>
          <w:sz w:val="32"/>
          <w:szCs w:val="32"/>
        </w:rPr>
        <w:t>条，政策，规划计划类信息</w:t>
      </w:r>
      <w:r>
        <w:rPr>
          <w:rFonts w:ascii="仿宋_GB2312" w:eastAsia="仿宋_GB2312" w:cs="仿宋_GB2312"/>
          <w:sz w:val="32"/>
          <w:szCs w:val="32"/>
        </w:rPr>
        <w:t>3</w:t>
      </w:r>
      <w:r w:rsidRPr="005F2094">
        <w:rPr>
          <w:rFonts w:ascii="仿宋_GB2312" w:eastAsia="仿宋_GB2312" w:cs="仿宋_GB2312" w:hint="eastAsia"/>
          <w:sz w:val="32"/>
          <w:szCs w:val="32"/>
        </w:rPr>
        <w:t>条，为民办实事类信息</w:t>
      </w:r>
      <w:r w:rsidRPr="005F2094">
        <w:rPr>
          <w:rFonts w:ascii="仿宋_GB2312" w:eastAsia="仿宋_GB2312" w:cs="仿宋_GB2312"/>
          <w:sz w:val="32"/>
          <w:szCs w:val="32"/>
        </w:rPr>
        <w:t>1</w:t>
      </w:r>
      <w:r w:rsidRPr="005F2094">
        <w:rPr>
          <w:rFonts w:ascii="仿宋_GB2312" w:eastAsia="仿宋_GB2312" w:cs="仿宋_GB2312" w:hint="eastAsia"/>
          <w:sz w:val="32"/>
          <w:szCs w:val="32"/>
        </w:rPr>
        <w:t>条，</w:t>
      </w:r>
      <w:r>
        <w:rPr>
          <w:rFonts w:ascii="仿宋_GB2312" w:eastAsia="仿宋_GB2312" w:cs="仿宋_GB2312" w:hint="eastAsia"/>
          <w:sz w:val="32"/>
          <w:szCs w:val="32"/>
        </w:rPr>
        <w:t>民政扶贫就在社会保障就业信息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条，国土资源城乡建设环保能源类信息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条，</w:t>
      </w:r>
      <w:r w:rsidRPr="005F2094">
        <w:rPr>
          <w:rFonts w:ascii="仿宋_GB2312" w:eastAsia="仿宋_GB2312" w:cs="仿宋_GB2312" w:hint="eastAsia"/>
          <w:sz w:val="32"/>
          <w:szCs w:val="32"/>
        </w:rPr>
        <w:t>科教文体卫生类信息</w:t>
      </w:r>
      <w:r>
        <w:rPr>
          <w:rFonts w:ascii="仿宋_GB2312" w:eastAsia="仿宋_GB2312" w:cs="仿宋_GB2312"/>
          <w:sz w:val="32"/>
          <w:szCs w:val="32"/>
        </w:rPr>
        <w:t>2</w:t>
      </w:r>
      <w:r w:rsidRPr="005F2094">
        <w:rPr>
          <w:rFonts w:ascii="仿宋_GB2312" w:eastAsia="仿宋_GB2312" w:cs="仿宋_GB2312" w:hint="eastAsia"/>
          <w:sz w:val="32"/>
          <w:szCs w:val="32"/>
        </w:rPr>
        <w:t>条，安全生产、应急管理类信息</w:t>
      </w:r>
      <w:r>
        <w:rPr>
          <w:rFonts w:ascii="仿宋_GB2312" w:eastAsia="仿宋_GB2312" w:cs="仿宋_GB2312"/>
          <w:sz w:val="32"/>
          <w:szCs w:val="32"/>
        </w:rPr>
        <w:t>11</w:t>
      </w:r>
      <w:r w:rsidRPr="005F2094">
        <w:rPr>
          <w:rFonts w:ascii="仿宋_GB2312" w:eastAsia="仿宋_GB2312" w:cs="仿宋_GB2312" w:hint="eastAsia"/>
          <w:sz w:val="32"/>
          <w:szCs w:val="32"/>
        </w:rPr>
        <w:t>条。</w:t>
      </w:r>
    </w:p>
    <w:p w:rsidR="00E320F7" w:rsidRPr="004963DE" w:rsidRDefault="00E320F7" w:rsidP="001F4ACE">
      <w:pPr>
        <w:spacing w:line="600" w:lineRule="exact"/>
        <w:ind w:firstLineChars="200" w:firstLine="31680"/>
        <w:rPr>
          <w:rFonts w:ascii="楷体_GB2312" w:eastAsia="楷体_GB2312" w:hAnsi="Batang"/>
          <w:b/>
          <w:bCs/>
          <w:kern w:val="0"/>
          <w:sz w:val="32"/>
          <w:szCs w:val="32"/>
        </w:rPr>
      </w:pPr>
      <w:r w:rsidRPr="004963DE">
        <w:rPr>
          <w:rFonts w:ascii="楷体_GB2312" w:eastAsia="楷体_GB2312" w:hAnsi="Batang" w:cs="楷体_GB2312" w:hint="eastAsia"/>
          <w:b/>
          <w:bCs/>
          <w:kern w:val="0"/>
          <w:sz w:val="32"/>
          <w:szCs w:val="32"/>
        </w:rPr>
        <w:t>（二）依申请公开政府信息办理情况</w:t>
      </w:r>
    </w:p>
    <w:p w:rsidR="00E320F7" w:rsidRPr="00B26DE3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6DE3">
        <w:rPr>
          <w:rFonts w:ascii="仿宋_GB2312" w:eastAsia="仿宋_GB2312" w:cs="仿宋_GB2312"/>
          <w:sz w:val="32"/>
          <w:szCs w:val="32"/>
        </w:rPr>
        <w:t>2019</w:t>
      </w:r>
      <w:r w:rsidRPr="00B26DE3">
        <w:rPr>
          <w:rFonts w:ascii="仿宋_GB2312" w:eastAsia="仿宋_GB2312" w:cs="仿宋_GB2312" w:hint="eastAsia"/>
          <w:sz w:val="32"/>
          <w:szCs w:val="32"/>
        </w:rPr>
        <w:t>年，我镇未受理依申请公开政府信息。</w:t>
      </w:r>
    </w:p>
    <w:p w:rsidR="00E320F7" w:rsidRPr="004963DE" w:rsidRDefault="00E320F7" w:rsidP="001F4ACE">
      <w:pPr>
        <w:spacing w:line="600" w:lineRule="exact"/>
        <w:ind w:firstLineChars="200" w:firstLine="31680"/>
        <w:rPr>
          <w:rFonts w:ascii="楷体_GB2312" w:eastAsia="楷体_GB2312" w:hAnsi="Batang"/>
          <w:b/>
          <w:bCs/>
          <w:kern w:val="0"/>
          <w:sz w:val="32"/>
          <w:szCs w:val="32"/>
        </w:rPr>
      </w:pPr>
      <w:r w:rsidRPr="004963DE">
        <w:rPr>
          <w:rFonts w:ascii="楷体_GB2312" w:eastAsia="楷体_GB2312" w:hAnsi="Batang" w:cs="楷体_GB2312" w:hint="eastAsia"/>
          <w:b/>
          <w:bCs/>
          <w:kern w:val="0"/>
          <w:sz w:val="32"/>
          <w:szCs w:val="32"/>
        </w:rPr>
        <w:t>（三）政府信息管理情况</w:t>
      </w:r>
    </w:p>
    <w:p w:rsidR="00E320F7" w:rsidRPr="00B26DE3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6DE3">
        <w:rPr>
          <w:rFonts w:ascii="仿宋_GB2312" w:eastAsia="仿宋_GB2312" w:cs="仿宋_GB2312" w:hint="eastAsia"/>
          <w:sz w:val="32"/>
          <w:szCs w:val="32"/>
        </w:rPr>
        <w:t>我镇成立相应领导组织，</w:t>
      </w:r>
      <w:r w:rsidRPr="00A53321">
        <w:rPr>
          <w:rFonts w:ascii="仿宋_GB2312" w:eastAsia="仿宋_GB2312" w:cs="仿宋_GB2312" w:hint="eastAsia"/>
          <w:sz w:val="32"/>
          <w:szCs w:val="32"/>
        </w:rPr>
        <w:t>由镇长任组长，各分管领导任副组长，各部门负责人为成员的政务公开领导小组，进一步强化了政务公开工作的领导和管理。各部门实行目标责任管理，落实“主体责任”，</w:t>
      </w:r>
      <w:r w:rsidRPr="00B26DE3">
        <w:rPr>
          <w:rFonts w:ascii="仿宋_GB2312" w:eastAsia="仿宋_GB2312" w:cs="仿宋_GB2312" w:hint="eastAsia"/>
          <w:sz w:val="32"/>
          <w:szCs w:val="32"/>
        </w:rPr>
        <w:t>将政务公开工作纳入各部门领导分工，切实加强对政府信息与政务公开工作的组织领导，夯实工作责任。</w:t>
      </w:r>
    </w:p>
    <w:p w:rsidR="00E320F7" w:rsidRPr="004963DE" w:rsidRDefault="00E320F7" w:rsidP="001F4ACE">
      <w:pPr>
        <w:spacing w:line="600" w:lineRule="exact"/>
        <w:ind w:firstLineChars="200" w:firstLine="31680"/>
        <w:rPr>
          <w:rFonts w:ascii="楷体_GB2312" w:eastAsia="楷体_GB2312" w:hAnsi="Batang"/>
          <w:b/>
          <w:bCs/>
          <w:kern w:val="0"/>
          <w:sz w:val="32"/>
          <w:szCs w:val="32"/>
        </w:rPr>
      </w:pPr>
      <w:r w:rsidRPr="004963DE">
        <w:rPr>
          <w:rFonts w:ascii="楷体_GB2312" w:eastAsia="楷体_GB2312" w:hAnsi="Batang" w:cs="楷体_GB2312" w:hint="eastAsia"/>
          <w:b/>
          <w:bCs/>
          <w:kern w:val="0"/>
          <w:sz w:val="32"/>
          <w:szCs w:val="32"/>
        </w:rPr>
        <w:t>（四）平台建设情况</w:t>
      </w:r>
    </w:p>
    <w:p w:rsidR="00E320F7" w:rsidRPr="00B26DE3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6DE3">
        <w:rPr>
          <w:rFonts w:ascii="仿宋_GB2312" w:eastAsia="仿宋_GB2312" w:cs="仿宋_GB2312" w:hint="eastAsia"/>
          <w:sz w:val="32"/>
          <w:szCs w:val="32"/>
        </w:rPr>
        <w:t>依据《条例》建立主动公开机制，合理调整政府信息公开的公开指南和目录，明确主动公开范围、公开方式和公开时限；健全完善政府信息公开发布机制，加大保密审查力度，及时发布政府各项信息；坚持方便、快捷和从群众需求入手，将门户网站作为主动公开政府信息的主要渠道，分门别类、统一规范，集中公开政府信息。在做好政府门户网站等信息发布平台的基础上，结合群众阅读习惯和日益增长的政府信息需求，开通“诚信洪濑”官方微信公众号，及时发布政务信息；各部门相互协作，及时更新政务动态信息，实现信息共享。</w:t>
      </w:r>
    </w:p>
    <w:p w:rsidR="00E320F7" w:rsidRPr="004963DE" w:rsidRDefault="00E320F7" w:rsidP="001F4ACE">
      <w:pPr>
        <w:spacing w:line="600" w:lineRule="exact"/>
        <w:ind w:firstLineChars="200" w:firstLine="31680"/>
        <w:rPr>
          <w:rFonts w:ascii="楷体_GB2312" w:eastAsia="楷体_GB2312" w:hAnsi="Batang"/>
          <w:b/>
          <w:bCs/>
          <w:kern w:val="0"/>
          <w:sz w:val="32"/>
          <w:szCs w:val="32"/>
        </w:rPr>
      </w:pPr>
      <w:r w:rsidRPr="004963DE">
        <w:rPr>
          <w:rFonts w:ascii="楷体_GB2312" w:eastAsia="楷体_GB2312" w:hAnsi="Batang" w:cs="楷体_GB2312" w:hint="eastAsia"/>
          <w:b/>
          <w:bCs/>
          <w:kern w:val="0"/>
          <w:sz w:val="32"/>
          <w:szCs w:val="32"/>
        </w:rPr>
        <w:t>（五）监督保障情况</w:t>
      </w:r>
    </w:p>
    <w:p w:rsidR="00E320F7" w:rsidRPr="00B26DE3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26DE3">
        <w:rPr>
          <w:rFonts w:ascii="仿宋_GB2312" w:eastAsia="仿宋_GB2312" w:cs="仿宋_GB2312" w:hint="eastAsia"/>
          <w:sz w:val="32"/>
          <w:szCs w:val="32"/>
        </w:rPr>
        <w:t>实行政务公开以来，我镇不断完善政务公开内容，及时更新各个栏目，使公开内容更为全面，更好地接受社会监督。</w:t>
      </w:r>
      <w:r>
        <w:rPr>
          <w:rFonts w:ascii="仿宋_GB2312" w:eastAsia="仿宋_GB2312" w:cs="仿宋_GB2312" w:hint="eastAsia"/>
          <w:sz w:val="32"/>
          <w:szCs w:val="32"/>
        </w:rPr>
        <w:t>不断</w:t>
      </w:r>
      <w:r w:rsidRPr="00B26DE3">
        <w:rPr>
          <w:rFonts w:ascii="仿宋_GB2312" w:eastAsia="仿宋_GB2312" w:cs="仿宋_GB2312" w:hint="eastAsia"/>
          <w:sz w:val="32"/>
          <w:szCs w:val="32"/>
        </w:rPr>
        <w:t>加强对政府信息公开的日常工作的监督指导，在人员方面，配备了</w:t>
      </w:r>
      <w:r w:rsidRPr="00B26DE3">
        <w:rPr>
          <w:rFonts w:ascii="仿宋_GB2312" w:eastAsia="仿宋_GB2312" w:cs="仿宋_GB2312"/>
          <w:sz w:val="32"/>
          <w:szCs w:val="32"/>
        </w:rPr>
        <w:t>1</w:t>
      </w:r>
      <w:r w:rsidRPr="00B26DE3">
        <w:rPr>
          <w:rFonts w:ascii="仿宋_GB2312" w:eastAsia="仿宋_GB2312" w:cs="仿宋_GB2312" w:hint="eastAsia"/>
          <w:sz w:val="32"/>
          <w:szCs w:val="32"/>
        </w:rPr>
        <w:t>名工作人员，负责做好政府信息的网上发布、更新工作，提供信息公开工作年度报告中有关统计数据。</w:t>
      </w:r>
      <w:r w:rsidRPr="005F2094">
        <w:rPr>
          <w:rFonts w:ascii="仿宋_GB2312" w:eastAsia="仿宋_GB2312" w:cs="仿宋_GB2312" w:hint="eastAsia"/>
          <w:sz w:val="32"/>
          <w:szCs w:val="32"/>
        </w:rPr>
        <w:t>建立健全洪濑镇政府信息公开保密审查制度，确保了公开信息的严密性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5F2094">
        <w:rPr>
          <w:rFonts w:ascii="仿宋_GB2312" w:eastAsia="仿宋_GB2312" w:cs="仿宋_GB2312" w:hint="eastAsia"/>
          <w:sz w:val="32"/>
          <w:szCs w:val="32"/>
        </w:rPr>
        <w:t>通过</w:t>
      </w:r>
      <w:r>
        <w:rPr>
          <w:rFonts w:ascii="仿宋_GB2312" w:eastAsia="仿宋_GB2312" w:cs="仿宋_GB2312" w:hint="eastAsia"/>
          <w:sz w:val="32"/>
          <w:szCs w:val="32"/>
        </w:rPr>
        <w:t>建立</w:t>
      </w:r>
      <w:r w:rsidRPr="005F2094">
        <w:rPr>
          <w:rFonts w:ascii="仿宋_GB2312" w:eastAsia="仿宋_GB2312" w:cs="仿宋_GB2312" w:hint="eastAsia"/>
          <w:sz w:val="32"/>
          <w:szCs w:val="32"/>
        </w:rPr>
        <w:t>完善制度机制，确保政府信息公开工作规范化、制度化。</w:t>
      </w:r>
    </w:p>
    <w:p w:rsidR="00E320F7" w:rsidRPr="004F6C4A" w:rsidRDefault="00E320F7" w:rsidP="0001460E">
      <w:pPr>
        <w:spacing w:line="540" w:lineRule="exact"/>
        <w:ind w:firstLineChars="200" w:firstLine="31680"/>
        <w:rPr>
          <w:rFonts w:ascii="黑体" w:eastAsia="黑体" w:hAnsi="Batang"/>
          <w:kern w:val="0"/>
          <w:sz w:val="32"/>
          <w:szCs w:val="32"/>
        </w:rPr>
      </w:pPr>
      <w:r w:rsidRPr="004F6C4A">
        <w:rPr>
          <w:rFonts w:ascii="黑体" w:eastAsia="黑体" w:hAnsi="Batang" w:cs="黑体" w:hint="eastAsia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E320F7" w:rsidRPr="002F6AA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:rsidR="00E320F7" w:rsidRPr="002F6AA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本年新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br/>
            </w: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本年新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br/>
            </w: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对外公开总数量</w:t>
            </w:r>
          </w:p>
        </w:tc>
      </w:tr>
      <w:tr w:rsidR="00E320F7" w:rsidRPr="002F6AA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E320F7" w:rsidRPr="002F6AA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:rsidR="00E320F7" w:rsidRPr="002F6AA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本年增</w:t>
            </w:r>
            <w:r w:rsidRPr="002F6AA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/</w:t>
            </w: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 w:rsidR="00E320F7" w:rsidRPr="002F6AA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:rsidR="00E320F7" w:rsidRPr="002F6AA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本年增</w:t>
            </w:r>
            <w:r w:rsidRPr="002F6AA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/</w:t>
            </w: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 w:rsidR="00E320F7" w:rsidRPr="002F6AA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:rsidR="00E320F7" w:rsidRPr="002F6AA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本年增</w:t>
            </w:r>
            <w:r w:rsidRPr="002F6AA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/</w:t>
            </w: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减</w:t>
            </w:r>
          </w:p>
        </w:tc>
      </w:tr>
      <w:tr w:rsidR="00E320F7" w:rsidRPr="002F6AA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第二十条第（九）项</w:t>
            </w:r>
          </w:p>
        </w:tc>
      </w:tr>
      <w:tr w:rsidR="00E320F7" w:rsidRPr="002F6AA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采购总金额</w:t>
            </w:r>
          </w:p>
        </w:tc>
      </w:tr>
      <w:tr w:rsidR="00E320F7" w:rsidRPr="002F6AA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106B1C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23229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</w:tbl>
    <w:p w:rsidR="00E320F7" w:rsidRDefault="00E320F7" w:rsidP="006F30CB">
      <w:pPr>
        <w:spacing w:line="580" w:lineRule="exact"/>
        <w:jc w:val="center"/>
      </w:pPr>
    </w:p>
    <w:p w:rsidR="00E320F7" w:rsidRPr="004F6C4A" w:rsidRDefault="00E320F7" w:rsidP="0001460E">
      <w:pPr>
        <w:spacing w:line="540" w:lineRule="exact"/>
        <w:ind w:firstLineChars="200" w:firstLine="31680"/>
        <w:rPr>
          <w:rFonts w:ascii="黑体" w:eastAsia="黑体" w:hAnsi="Batang"/>
          <w:kern w:val="0"/>
          <w:sz w:val="32"/>
          <w:szCs w:val="32"/>
        </w:rPr>
      </w:pPr>
      <w:r w:rsidRPr="004F6C4A">
        <w:rPr>
          <w:rFonts w:ascii="黑体" w:eastAsia="黑体" w:hAnsi="Batang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 w:rsidR="00E320F7" w:rsidRPr="002F6AA8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申请人情况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320F7" w:rsidRPr="002F6AA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1.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2.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3.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4.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5.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6.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7.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8.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1.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2.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3.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1.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2.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3.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4.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/>
                <w:color w:val="000000"/>
                <w:kern w:val="0"/>
                <w:sz w:val="32"/>
                <w:szCs w:val="32"/>
              </w:rPr>
              <w:t>5.</w:t>
            </w: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320F7" w:rsidRPr="002F6AA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楷体" w:cs="仿宋_GB2312" w:hint="eastAsia"/>
                <w:color w:val="000000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320F7" w:rsidRPr="002F6AA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F6AA8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E320F7" w:rsidRPr="00851B86" w:rsidRDefault="00E320F7" w:rsidP="00E320F7">
      <w:pPr>
        <w:spacing w:line="540" w:lineRule="exact"/>
        <w:ind w:firstLineChars="200" w:firstLine="31680"/>
        <w:rPr>
          <w:rFonts w:ascii="黑体" w:eastAsia="黑体" w:hAnsi="Batang"/>
          <w:kern w:val="0"/>
          <w:sz w:val="32"/>
          <w:szCs w:val="32"/>
        </w:rPr>
      </w:pPr>
      <w:r w:rsidRPr="00851B86">
        <w:rPr>
          <w:rFonts w:ascii="黑体" w:eastAsia="黑体" w:hAnsi="Batang" w:cs="黑体" w:hint="eastAsia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320F7" w:rsidRPr="00201FA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行政诉讼</w:t>
            </w:r>
          </w:p>
        </w:tc>
      </w:tr>
      <w:tr w:rsidR="00E320F7" w:rsidRPr="00201FA0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复议后起诉</w:t>
            </w:r>
          </w:p>
        </w:tc>
      </w:tr>
      <w:tr w:rsidR="00E320F7" w:rsidRPr="00201FA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:rsidR="00E320F7" w:rsidRPr="002F6AA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01FA0" w:rsidRDefault="00E320F7" w:rsidP="006F30CB">
            <w:pPr>
              <w:widowControl/>
              <w:spacing w:line="58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 </w:t>
            </w: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0F7" w:rsidRPr="002F6AA8" w:rsidRDefault="00E320F7" w:rsidP="006F30CB"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201FA0"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E320F7" w:rsidRPr="00851B86" w:rsidRDefault="00E320F7" w:rsidP="00E320F7">
      <w:pPr>
        <w:spacing w:line="540" w:lineRule="exact"/>
        <w:ind w:firstLineChars="200" w:firstLine="31680"/>
        <w:rPr>
          <w:rFonts w:ascii="黑体" w:eastAsia="黑体" w:hAnsi="Batang"/>
          <w:kern w:val="0"/>
          <w:sz w:val="32"/>
          <w:szCs w:val="32"/>
        </w:rPr>
      </w:pPr>
      <w:r w:rsidRPr="00851B86">
        <w:rPr>
          <w:rFonts w:ascii="黑体" w:eastAsia="黑体" w:hAnsi="Batang" w:cs="黑体" w:hint="eastAsia"/>
          <w:kern w:val="0"/>
          <w:sz w:val="32"/>
          <w:szCs w:val="32"/>
        </w:rPr>
        <w:t>五、存在的主要问题及改进情况</w:t>
      </w:r>
    </w:p>
    <w:p w:rsidR="00E320F7" w:rsidRPr="001427B6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427B6">
        <w:rPr>
          <w:rFonts w:ascii="仿宋_GB2312" w:eastAsia="仿宋_GB2312" w:cs="仿宋_GB2312" w:hint="eastAsia"/>
          <w:sz w:val="32"/>
          <w:szCs w:val="32"/>
        </w:rPr>
        <w:t>虽然我</w:t>
      </w:r>
      <w:r>
        <w:rPr>
          <w:rFonts w:ascii="仿宋_GB2312" w:eastAsia="仿宋_GB2312" w:cs="仿宋_GB2312" w:hint="eastAsia"/>
          <w:sz w:val="32"/>
          <w:szCs w:val="32"/>
        </w:rPr>
        <w:t>镇</w:t>
      </w:r>
      <w:r w:rsidRPr="001427B6">
        <w:rPr>
          <w:rFonts w:ascii="仿宋_GB2312" w:eastAsia="仿宋_GB2312" w:cs="仿宋_GB2312" w:hint="eastAsia"/>
          <w:sz w:val="32"/>
          <w:szCs w:val="32"/>
        </w:rPr>
        <w:t>在政务公开工作取得了一定的成效，但也还存在着一些问题。一是个别</w:t>
      </w:r>
      <w:r>
        <w:rPr>
          <w:rFonts w:ascii="仿宋_GB2312" w:eastAsia="仿宋_GB2312" w:cs="仿宋_GB2312" w:hint="eastAsia"/>
          <w:sz w:val="32"/>
          <w:szCs w:val="32"/>
        </w:rPr>
        <w:t>部门</w:t>
      </w:r>
      <w:r w:rsidRPr="001427B6">
        <w:rPr>
          <w:rFonts w:ascii="仿宋_GB2312" w:eastAsia="仿宋_GB2312" w:cs="仿宋_GB2312" w:hint="eastAsia"/>
          <w:sz w:val="32"/>
          <w:szCs w:val="32"/>
        </w:rPr>
        <w:t>重视程度不够。表现在工作上不够主动，不够积极，公开的时效性不强；个别</w:t>
      </w:r>
      <w:r>
        <w:rPr>
          <w:rFonts w:ascii="仿宋_GB2312" w:eastAsia="仿宋_GB2312" w:cs="仿宋_GB2312" w:hint="eastAsia"/>
          <w:sz w:val="32"/>
          <w:szCs w:val="32"/>
        </w:rPr>
        <w:t>部门</w:t>
      </w:r>
      <w:r w:rsidRPr="001427B6">
        <w:rPr>
          <w:rFonts w:ascii="仿宋_GB2312" w:eastAsia="仿宋_GB2312" w:cs="仿宋_GB2312" w:hint="eastAsia"/>
          <w:sz w:val="32"/>
          <w:szCs w:val="32"/>
        </w:rPr>
        <w:t>重对外公开，轻对内公开。二是个别</w:t>
      </w:r>
      <w:r>
        <w:rPr>
          <w:rFonts w:ascii="仿宋_GB2312" w:eastAsia="仿宋_GB2312" w:cs="仿宋_GB2312" w:hint="eastAsia"/>
          <w:sz w:val="32"/>
          <w:szCs w:val="32"/>
        </w:rPr>
        <w:t>部门</w:t>
      </w:r>
      <w:r w:rsidRPr="001427B6">
        <w:rPr>
          <w:rFonts w:ascii="仿宋_GB2312" w:eastAsia="仿宋_GB2312" w:cs="仿宋_GB2312" w:hint="eastAsia"/>
          <w:sz w:val="32"/>
          <w:szCs w:val="32"/>
        </w:rPr>
        <w:t>重形式多了一点，在注重内容和实效上还需加强。三是个别</w:t>
      </w:r>
      <w:r>
        <w:rPr>
          <w:rFonts w:ascii="仿宋_GB2312" w:eastAsia="仿宋_GB2312" w:cs="仿宋_GB2312" w:hint="eastAsia"/>
          <w:sz w:val="32"/>
          <w:szCs w:val="32"/>
        </w:rPr>
        <w:t>部门</w:t>
      </w:r>
      <w:r w:rsidRPr="001427B6">
        <w:rPr>
          <w:rFonts w:ascii="仿宋_GB2312" w:eastAsia="仿宋_GB2312" w:cs="仿宋_GB2312" w:hint="eastAsia"/>
          <w:sz w:val="32"/>
          <w:szCs w:val="32"/>
        </w:rPr>
        <w:t>监督机制不够完善。在下步工作中，我们将从以下几个方面努力改进。</w:t>
      </w:r>
    </w:p>
    <w:p w:rsidR="00E320F7" w:rsidRPr="001427B6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7D0F">
        <w:rPr>
          <w:rFonts w:ascii="楷体_GB2312" w:eastAsia="楷体_GB2312" w:cs="楷体_GB2312" w:hint="eastAsia"/>
          <w:b/>
          <w:bCs/>
          <w:sz w:val="32"/>
          <w:szCs w:val="32"/>
        </w:rPr>
        <w:t>一是要深化对开展政务公开工作重要性的认识。</w:t>
      </w:r>
      <w:r w:rsidRPr="001427B6">
        <w:rPr>
          <w:rFonts w:ascii="仿宋_GB2312" w:eastAsia="仿宋_GB2312" w:cs="仿宋_GB2312" w:hint="eastAsia"/>
          <w:sz w:val="32"/>
          <w:szCs w:val="32"/>
        </w:rPr>
        <w:t>要不断完善政务公开工作的组织领导和日常工作机构，继续实行一把手负总责、分管领导具体负责、职能部门各司其责的工作格局，不断丰富政务公开的内容和形式，保证这项工作有始有终、健康有序地发展。</w:t>
      </w:r>
    </w:p>
    <w:p w:rsidR="00E320F7" w:rsidRPr="001427B6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7D0F">
        <w:rPr>
          <w:rFonts w:ascii="楷体_GB2312" w:eastAsia="楷体_GB2312" w:cs="楷体_GB2312" w:hint="eastAsia"/>
          <w:b/>
          <w:bCs/>
          <w:sz w:val="32"/>
          <w:szCs w:val="32"/>
        </w:rPr>
        <w:t>二是要加强政务公开的载体建设。</w:t>
      </w:r>
      <w:r w:rsidRPr="001427B6">
        <w:rPr>
          <w:rFonts w:ascii="仿宋_GB2312" w:eastAsia="仿宋_GB2312" w:cs="仿宋_GB2312" w:hint="eastAsia"/>
          <w:sz w:val="32"/>
          <w:szCs w:val="32"/>
        </w:rPr>
        <w:t>着力抓好行政审批、行政执法、行政监督、医疗收费和政府采购的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 w:rsidRPr="001427B6">
        <w:rPr>
          <w:rFonts w:ascii="仿宋_GB2312" w:eastAsia="仿宋_GB2312" w:cs="仿宋_GB2312" w:hint="eastAsia"/>
          <w:sz w:val="32"/>
          <w:szCs w:val="32"/>
        </w:rPr>
        <w:t>公开工作，进一步完善各项公开工作的运行程序，自觉接受社会监督。</w:t>
      </w:r>
    </w:p>
    <w:p w:rsidR="00E320F7" w:rsidRPr="001427B6" w:rsidRDefault="00E320F7" w:rsidP="001F4ACE">
      <w:pPr>
        <w:widowControl/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807D0F">
        <w:rPr>
          <w:rFonts w:ascii="楷体_GB2312" w:eastAsia="楷体_GB2312" w:cs="楷体_GB2312" w:hint="eastAsia"/>
          <w:b/>
          <w:bCs/>
          <w:sz w:val="32"/>
          <w:szCs w:val="32"/>
        </w:rPr>
        <w:t>三是要突出重点，保证效果。</w:t>
      </w:r>
      <w:r w:rsidRPr="001427B6">
        <w:rPr>
          <w:rFonts w:ascii="仿宋_GB2312" w:eastAsia="仿宋_GB2312" w:cs="仿宋_GB2312" w:hint="eastAsia"/>
          <w:sz w:val="32"/>
          <w:szCs w:val="32"/>
        </w:rPr>
        <w:t>要把政务公开工作的着力点放在群众反映最强烈，最容易产生腐败的问题上，抓好重点部门、重点部位和重点环节的公开。同时要坚持实事求是的原则，凡是需要群众知道的，涉及群众切身利益的，都要纳入公开范围，实实在在的公开。要严格按照有关政务公开的实施意见办事，对违规违纪部门和人员要严肃处理，确保政务公开工作收到实效。</w:t>
      </w:r>
    </w:p>
    <w:p w:rsidR="00E320F7" w:rsidRDefault="00E320F7" w:rsidP="001F4ACE">
      <w:pPr>
        <w:spacing w:line="600" w:lineRule="exact"/>
        <w:ind w:firstLineChars="196" w:firstLine="31680"/>
        <w:rPr>
          <w:rFonts w:ascii="仿宋_GB2312" w:eastAsia="仿宋_GB2312"/>
          <w:sz w:val="32"/>
          <w:szCs w:val="32"/>
        </w:rPr>
      </w:pPr>
      <w:r w:rsidRPr="00807D0F">
        <w:rPr>
          <w:rFonts w:ascii="楷体_GB2312" w:eastAsia="楷体_GB2312" w:cs="楷体_GB2312" w:hint="eastAsia"/>
          <w:b/>
          <w:bCs/>
          <w:sz w:val="32"/>
          <w:szCs w:val="32"/>
        </w:rPr>
        <w:t>四是要加大监督检查力度，强化对政务公开工作的日常监督考核。</w:t>
      </w:r>
      <w:r w:rsidRPr="001427B6">
        <w:rPr>
          <w:rFonts w:ascii="仿宋_GB2312" w:eastAsia="仿宋_GB2312" w:cs="仿宋_GB2312" w:hint="eastAsia"/>
          <w:sz w:val="32"/>
          <w:szCs w:val="32"/>
        </w:rPr>
        <w:t>政务</w:t>
      </w:r>
      <w:r>
        <w:rPr>
          <w:rFonts w:ascii="仿宋_GB2312" w:eastAsia="仿宋_GB2312" w:cs="仿宋_GB2312" w:hint="eastAsia"/>
          <w:sz w:val="32"/>
          <w:szCs w:val="32"/>
        </w:rPr>
        <w:t>公开工作领导小组要自上而下地强化对政务公开工作的监督检查，督促</w:t>
      </w:r>
      <w:r w:rsidRPr="001427B6">
        <w:rPr>
          <w:rFonts w:ascii="仿宋_GB2312" w:eastAsia="仿宋_GB2312" w:cs="仿宋_GB2312" w:hint="eastAsia"/>
          <w:sz w:val="32"/>
          <w:szCs w:val="32"/>
        </w:rPr>
        <w:t>政务公开的落实和实施，重点解决承诺不践诺，在位不到位，执法不依法，越权行政，乱收费等问题。</w:t>
      </w:r>
    </w:p>
    <w:p w:rsidR="00E320F7" w:rsidRPr="00851B86" w:rsidRDefault="00E320F7" w:rsidP="001F4ACE">
      <w:pPr>
        <w:spacing w:line="600" w:lineRule="exact"/>
        <w:ind w:firstLineChars="200" w:firstLine="31680"/>
        <w:rPr>
          <w:rFonts w:ascii="黑体" w:eastAsia="黑体" w:hAnsi="Batang"/>
          <w:kern w:val="0"/>
          <w:sz w:val="32"/>
          <w:szCs w:val="32"/>
        </w:rPr>
      </w:pPr>
      <w:r w:rsidRPr="00851B86">
        <w:rPr>
          <w:rFonts w:ascii="黑体" w:eastAsia="黑体" w:hAnsi="Batang" w:cs="黑体" w:hint="eastAsia"/>
          <w:kern w:val="0"/>
          <w:sz w:val="32"/>
          <w:szCs w:val="32"/>
        </w:rPr>
        <w:t>六、需要说明的其他事项与附表</w:t>
      </w:r>
    </w:p>
    <w:p w:rsidR="00E320F7" w:rsidRDefault="00E320F7" w:rsidP="001F4ACE">
      <w:pPr>
        <w:spacing w:line="600" w:lineRule="exact"/>
        <w:ind w:firstLineChars="200" w:firstLine="31680"/>
        <w:rPr>
          <w:rFonts w:ascii="仿宋_GB2312"/>
        </w:rPr>
      </w:pPr>
      <w:r>
        <w:rPr>
          <w:rFonts w:ascii="仿宋_GB2312" w:eastAsia="仿宋_GB2312" w:hAnsi="Batang" w:cs="仿宋_GB2312" w:hint="eastAsia"/>
          <w:kern w:val="0"/>
          <w:sz w:val="32"/>
          <w:szCs w:val="32"/>
        </w:rPr>
        <w:t>无</w:t>
      </w:r>
      <w:r w:rsidRPr="00851B86">
        <w:rPr>
          <w:rFonts w:ascii="仿宋_GB2312" w:eastAsia="仿宋_GB2312" w:hAnsi="Batang" w:cs="仿宋_GB2312" w:hint="eastAsia"/>
          <w:kern w:val="0"/>
          <w:sz w:val="32"/>
          <w:szCs w:val="32"/>
        </w:rPr>
        <w:t>。</w:t>
      </w:r>
    </w:p>
    <w:p w:rsidR="00E320F7" w:rsidRDefault="00E320F7" w:rsidP="0001460E">
      <w:pPr>
        <w:spacing w:line="540" w:lineRule="exact"/>
        <w:ind w:firstLineChars="200" w:firstLine="31680"/>
        <w:rPr>
          <w:rFonts w:ascii="仿宋_GB2312"/>
        </w:rPr>
      </w:pPr>
    </w:p>
    <w:p w:rsidR="00E320F7" w:rsidRPr="006F30CB" w:rsidRDefault="00E320F7" w:rsidP="0001460E">
      <w:pPr>
        <w:spacing w:line="580" w:lineRule="exact"/>
        <w:ind w:firstLineChars="196" w:firstLine="31680"/>
        <w:rPr>
          <w:rFonts w:ascii="仿宋_GB2312" w:eastAsia="仿宋_GB2312"/>
          <w:sz w:val="32"/>
          <w:szCs w:val="32"/>
        </w:rPr>
      </w:pPr>
    </w:p>
    <w:p w:rsidR="00E320F7" w:rsidRPr="005F2094" w:rsidRDefault="00E320F7" w:rsidP="0001460E">
      <w:pPr>
        <w:spacing w:line="580" w:lineRule="exact"/>
        <w:ind w:firstLineChars="1600" w:firstLine="31680"/>
        <w:jc w:val="right"/>
        <w:rPr>
          <w:rFonts w:ascii="仿宋_GB2312" w:eastAsia="仿宋_GB2312"/>
          <w:sz w:val="32"/>
          <w:szCs w:val="32"/>
        </w:rPr>
      </w:pPr>
      <w:r w:rsidRPr="005F2094">
        <w:rPr>
          <w:rFonts w:ascii="仿宋_GB2312" w:eastAsia="仿宋_GB2312" w:cs="仿宋_GB2312" w:hint="eastAsia"/>
          <w:sz w:val="32"/>
          <w:szCs w:val="32"/>
        </w:rPr>
        <w:t>洪濑镇人民政府</w:t>
      </w:r>
    </w:p>
    <w:p w:rsidR="00E320F7" w:rsidRPr="005F2094" w:rsidRDefault="00E320F7" w:rsidP="0001460E">
      <w:pPr>
        <w:spacing w:line="580" w:lineRule="exact"/>
        <w:ind w:firstLineChars="1550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2020</w:t>
      </w:r>
      <w:r w:rsidRPr="005F2094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 w:rsidRPr="005F2094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</w:t>
      </w:r>
      <w:r w:rsidRPr="005F2094">
        <w:rPr>
          <w:rFonts w:ascii="仿宋_GB2312" w:eastAsia="仿宋_GB2312" w:cs="仿宋_GB2312" w:hint="eastAsia"/>
          <w:sz w:val="32"/>
          <w:szCs w:val="32"/>
        </w:rPr>
        <w:t>日</w:t>
      </w:r>
    </w:p>
    <w:p w:rsidR="00E320F7" w:rsidRPr="0029748E" w:rsidRDefault="00E320F7" w:rsidP="0001460E">
      <w:pPr>
        <w:snapToGrid w:val="0"/>
        <w:spacing w:line="560" w:lineRule="exact"/>
      </w:pPr>
    </w:p>
    <w:sectPr w:rsidR="00E320F7" w:rsidRPr="0029748E" w:rsidSect="0047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48E"/>
    <w:rsid w:val="000035CE"/>
    <w:rsid w:val="0001460E"/>
    <w:rsid w:val="00032D92"/>
    <w:rsid w:val="000B364B"/>
    <w:rsid w:val="000B73DE"/>
    <w:rsid w:val="00106B1C"/>
    <w:rsid w:val="001317B5"/>
    <w:rsid w:val="001427B6"/>
    <w:rsid w:val="00175215"/>
    <w:rsid w:val="001F2ADA"/>
    <w:rsid w:val="001F4ACE"/>
    <w:rsid w:val="001F55ED"/>
    <w:rsid w:val="00201FA0"/>
    <w:rsid w:val="0029748E"/>
    <w:rsid w:val="002B059A"/>
    <w:rsid w:val="002F0010"/>
    <w:rsid w:val="002F6AA8"/>
    <w:rsid w:val="00306A54"/>
    <w:rsid w:val="0042202E"/>
    <w:rsid w:val="004755D7"/>
    <w:rsid w:val="004963DE"/>
    <w:rsid w:val="004E1805"/>
    <w:rsid w:val="004E1AF2"/>
    <w:rsid w:val="004F6C4A"/>
    <w:rsid w:val="00521295"/>
    <w:rsid w:val="005D4066"/>
    <w:rsid w:val="005F2094"/>
    <w:rsid w:val="00680BF0"/>
    <w:rsid w:val="006A49A4"/>
    <w:rsid w:val="006F30CB"/>
    <w:rsid w:val="0070281F"/>
    <w:rsid w:val="00763F44"/>
    <w:rsid w:val="007C3A2F"/>
    <w:rsid w:val="00807D0F"/>
    <w:rsid w:val="00851B86"/>
    <w:rsid w:val="009357B6"/>
    <w:rsid w:val="00A53321"/>
    <w:rsid w:val="00B13E1B"/>
    <w:rsid w:val="00B26DE3"/>
    <w:rsid w:val="00B41D3D"/>
    <w:rsid w:val="00D149BB"/>
    <w:rsid w:val="00E320F7"/>
    <w:rsid w:val="00F410C5"/>
    <w:rsid w:val="00F5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8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列出段落"/>
    <w:basedOn w:val="Normal"/>
    <w:uiPriority w:val="99"/>
    <w:rsid w:val="004F6C4A"/>
    <w:pPr>
      <w:ind w:firstLineChars="200" w:firstLine="4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52129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5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9</Pages>
  <Words>526</Words>
  <Characters>3002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洪濑镇2019年度政府信息公开工作年度报告</dc:title>
  <dc:subject/>
  <dc:creator>微软用户</dc:creator>
  <cp:keywords/>
  <dc:description/>
  <cp:lastModifiedBy>微软用户</cp:lastModifiedBy>
  <cp:revision>8</cp:revision>
  <dcterms:created xsi:type="dcterms:W3CDTF">2020-03-12T06:45:00Z</dcterms:created>
  <dcterms:modified xsi:type="dcterms:W3CDTF">2020-03-12T07:07:00Z</dcterms:modified>
</cp:coreProperties>
</file>