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B" w:rsidRPr="00AA1AF6" w:rsidRDefault="0031231B" w:rsidP="00AA1AF6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31231B" w:rsidRPr="00AA1AF6" w:rsidRDefault="0031231B" w:rsidP="00AA1AF6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31231B" w:rsidRPr="00AA1AF6" w:rsidRDefault="0031231B" w:rsidP="00AA1AF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1AF6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</w:t>
      </w:r>
      <w:r w:rsidRPr="00AA1AF6">
        <w:rPr>
          <w:rFonts w:ascii="方正小标宋简体" w:eastAsia="方正小标宋简体" w:hAnsi="Times New Roman" w:cs="方正小标宋简体"/>
          <w:sz w:val="44"/>
          <w:szCs w:val="44"/>
        </w:rPr>
        <w:t>2024</w:t>
      </w:r>
      <w:r w:rsidRPr="00AA1AF6">
        <w:rPr>
          <w:rFonts w:ascii="方正小标宋简体" w:eastAsia="方正小标宋简体" w:hAnsi="Times New Roman" w:cs="方正小标宋简体" w:hint="eastAsia"/>
          <w:sz w:val="44"/>
          <w:szCs w:val="44"/>
        </w:rPr>
        <w:t>年</w:t>
      </w:r>
    </w:p>
    <w:p w:rsidR="0031231B" w:rsidRPr="00AA1AF6" w:rsidRDefault="0031231B" w:rsidP="00AA1AF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1AF6">
        <w:rPr>
          <w:rFonts w:ascii="方正小标宋简体" w:eastAsia="方正小标宋简体" w:hAnsi="Times New Roman" w:cs="方正小标宋简体" w:hint="eastAsia"/>
          <w:sz w:val="44"/>
          <w:szCs w:val="44"/>
        </w:rPr>
        <w:t>政府信息公开工作年度报告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根据《中华人民共和国政府信息公开条例》《中华人民共和国政府信息公开工作年度报告格式》规定，向社会公布南安市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政府信息公开工作年度报告。本报告包括总体情况、主动公开政府信息情况、收到和处理政府信息公开申请情况、政府信息公开行政复议和行政诉讼情况、存在的主要问题及改进情况，以及其他需要报告的事项。报告中有关情况及数据统计期限为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日至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日。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AA1AF6">
        <w:rPr>
          <w:rFonts w:ascii="Times New Roman" w:eastAsia="黑体" w:hAnsi="黑体" w:cs="黑体" w:hint="eastAsia"/>
          <w:sz w:val="32"/>
          <w:szCs w:val="32"/>
        </w:rPr>
        <w:t>一、总体情况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，我市坚持以习近平新时代中国特色社会主义思想为指导，全面贯彻落实党的二十大和二十届二中、三中全会精神，准确把握新时代政务公开新形势、新要求，坚持人民至上，统筹政务公开与安全保密，充分发挥以公开促落实、优服务、强监管作用，助推南安经济社会高质量发展。</w:t>
      </w:r>
    </w:p>
    <w:p w:rsidR="0031231B" w:rsidRPr="00AA1AF6" w:rsidRDefault="0031231B" w:rsidP="00AA1AF6">
      <w:pPr>
        <w:spacing w:line="600" w:lineRule="exact"/>
        <w:ind w:firstLine="640"/>
        <w:rPr>
          <w:rFonts w:ascii="Times New Roman" w:eastAsia="楷体" w:hAnsi="Times New Roman" w:cs="Times New Roman"/>
          <w:sz w:val="32"/>
          <w:szCs w:val="32"/>
        </w:rPr>
      </w:pPr>
      <w:r w:rsidRPr="00AA1AF6">
        <w:rPr>
          <w:rFonts w:ascii="Times New Roman" w:eastAsia="楷体" w:hAnsi="楷体" w:cs="楷体" w:hint="eastAsia"/>
          <w:sz w:val="32"/>
          <w:szCs w:val="32"/>
        </w:rPr>
        <w:t>（一）主动公开方面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一是聚焦重点领域信息公开。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年，围绕市委、市政府中心工作，共主动公开政府信息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4427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条，制发行政规范性文件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54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件，废止行政规范性文件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件。二是常态化建立政策解读机制。主动结合热点问题和群众关切，充分运用图文并茂、媒体解读等形式开展政策解读，共发布解读政策文件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117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份，政策解读率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217%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。三是持续深化基层政务公开。根据各村（居）具体情况，编制村（居）务公开目录清单并在专题内集中更新。</w:t>
      </w:r>
    </w:p>
    <w:p w:rsidR="0031231B" w:rsidRPr="00AA1AF6" w:rsidRDefault="0031231B" w:rsidP="00AA1AF6">
      <w:pPr>
        <w:spacing w:line="600" w:lineRule="exact"/>
        <w:ind w:firstLine="640"/>
        <w:rPr>
          <w:rFonts w:ascii="Times New Roman" w:eastAsia="楷体" w:hAnsi="楷体" w:cs="Times New Roman"/>
          <w:sz w:val="32"/>
          <w:szCs w:val="32"/>
        </w:rPr>
      </w:pPr>
      <w:r w:rsidRPr="00AA1AF6">
        <w:rPr>
          <w:rFonts w:ascii="Times New Roman" w:eastAsia="楷体" w:hAnsi="楷体" w:cs="楷体" w:hint="eastAsia"/>
          <w:sz w:val="32"/>
          <w:szCs w:val="32"/>
        </w:rPr>
        <w:t>（二）依申请公开方面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一是严格落实《条例》规定。办理过程实时录入，确保全流程有迹可循。二是坚持便民原则。加强与申请人沟通，完善答复文书格式与内容，提升答复的针对性和准确性。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年依法受理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534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件信息公开申请，其中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509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件在法定期限内予以答复，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件结转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2025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年办结；政府信息公开行政复议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件，政府信息公开行政诉讼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件。</w:t>
      </w:r>
    </w:p>
    <w:p w:rsidR="0031231B" w:rsidRPr="00AA1AF6" w:rsidRDefault="0031231B" w:rsidP="00AA1AF6">
      <w:pPr>
        <w:spacing w:line="600" w:lineRule="exact"/>
        <w:ind w:firstLine="640"/>
        <w:rPr>
          <w:rFonts w:ascii="Times New Roman" w:eastAsia="楷体" w:hAnsi="楷体" w:cs="Times New Roman"/>
          <w:sz w:val="32"/>
          <w:szCs w:val="32"/>
        </w:rPr>
      </w:pPr>
      <w:r w:rsidRPr="00AA1AF6">
        <w:rPr>
          <w:rFonts w:ascii="Times New Roman" w:eastAsia="楷体" w:hAnsi="楷体" w:cs="楷体" w:hint="eastAsia"/>
          <w:sz w:val="32"/>
          <w:szCs w:val="32"/>
        </w:rPr>
        <w:t>（三）政府信息管理方面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一是严格执行信息发布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三审三校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制度，制发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易错词提醒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，常态化开展错敏词和隐私排查，实现监测问题即查即改，确保网络意识形态领域安全。二是进一步加强规范性文件管理，定期开展清理与认定，更新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年现行有效的规范性文件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283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件。三是规范主动公开信息的送交工作，每月定期将主动公开的政府信息送交市档案馆和图书馆，做到纸质文本、电子文本送交数量相一致。</w:t>
      </w:r>
    </w:p>
    <w:p w:rsidR="0031231B" w:rsidRPr="00AA1AF6" w:rsidRDefault="0031231B" w:rsidP="00AA1AF6">
      <w:pPr>
        <w:spacing w:line="600" w:lineRule="exact"/>
        <w:ind w:firstLine="640"/>
        <w:rPr>
          <w:rFonts w:ascii="Times New Roman" w:eastAsia="楷体" w:hAnsi="楷体" w:cs="Times New Roman"/>
          <w:sz w:val="32"/>
          <w:szCs w:val="32"/>
        </w:rPr>
      </w:pPr>
      <w:r w:rsidRPr="00AA1AF6">
        <w:rPr>
          <w:rFonts w:ascii="Times New Roman" w:eastAsia="楷体" w:hAnsi="楷体" w:cs="楷体" w:hint="eastAsia"/>
          <w:sz w:val="32"/>
          <w:szCs w:val="32"/>
        </w:rPr>
        <w:t>（四）政府信息公开平台建设方面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一是完善网站栏目设置。动态调整重点领域信息公开与基层政务公开领域目录，并做好栏目内容保障。二是加强政务新媒体运维监管。目前，正常运维的政务新媒体共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59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个，其中微信公众号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56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个、新浪微博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个、抖音号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个。三是积极运维线下信息公开场所。依托便民服务中心、党群服务中心等场所建设政务公开专区，提供政府信息网上查询、政府信息公开申请、资料展示、政策咨询、办事服务等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一站式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服务，方便群众及时掌握重要政府信息。</w:t>
      </w:r>
    </w:p>
    <w:p w:rsidR="0031231B" w:rsidRPr="00AA1AF6" w:rsidRDefault="0031231B" w:rsidP="00AA1AF6">
      <w:pPr>
        <w:spacing w:line="600" w:lineRule="exact"/>
        <w:ind w:firstLine="640"/>
        <w:rPr>
          <w:rFonts w:ascii="Times New Roman" w:eastAsia="楷体" w:hAnsi="楷体" w:cs="Times New Roman"/>
          <w:sz w:val="32"/>
          <w:szCs w:val="32"/>
        </w:rPr>
      </w:pPr>
      <w:r w:rsidRPr="00AA1AF6">
        <w:rPr>
          <w:rFonts w:ascii="Times New Roman" w:eastAsia="楷体" w:hAnsi="楷体" w:cs="楷体" w:hint="eastAsia"/>
          <w:sz w:val="32"/>
          <w:szCs w:val="32"/>
        </w:rPr>
        <w:t>（五）平台监督保障方面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一是做好日常监管工作。对日常发现的问题、省市监测反馈的问题及时整改，持续把政务公开纳入绩效考核</w:t>
      </w:r>
      <w:bookmarkStart w:id="0" w:name="_GoBack"/>
      <w:bookmarkEnd w:id="0"/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，高质量落实政务公开任务。二是强化培训指导。组织开展政务公开工作专题培训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场，进一步提升全市政务公开工作队伍业务水平。三是严格落实政府信息公开社会评议和责任追究制度。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年未发生政府信息公开工作责任追究情况。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A1AF6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margin" w:tblpXSpec="center" w:tblpY="68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35"/>
        <w:gridCol w:w="2435"/>
        <w:gridCol w:w="2435"/>
        <w:gridCol w:w="2435"/>
      </w:tblGrid>
      <w:tr w:rsidR="0031231B" w:rsidRPr="00AA1AF6">
        <w:trPr>
          <w:trHeight w:val="340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第二十条第（一）项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</w:t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制发件数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本年废止件数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现行有效件</w:t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数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规章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行政规范性文件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2E5FA9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283</w:t>
            </w:r>
          </w:p>
        </w:tc>
      </w:tr>
      <w:tr w:rsidR="0031231B" w:rsidRPr="00AA1AF6">
        <w:trPr>
          <w:trHeight w:val="340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第二十条第（五）项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86012</w:t>
            </w:r>
          </w:p>
        </w:tc>
      </w:tr>
      <w:tr w:rsidR="0031231B" w:rsidRPr="00AA1AF6">
        <w:trPr>
          <w:trHeight w:val="340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第二十条第（六）项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13798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589</w:t>
            </w:r>
          </w:p>
        </w:tc>
      </w:tr>
      <w:tr w:rsidR="0031231B" w:rsidRPr="00AA1AF6">
        <w:trPr>
          <w:trHeight w:val="340"/>
        </w:trPr>
        <w:tc>
          <w:tcPr>
            <w:tcW w:w="9740" w:type="dxa"/>
            <w:gridSpan w:val="4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第二十条第（八）项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本年收费金额（单位：万元）</w:t>
            </w:r>
          </w:p>
        </w:tc>
      </w:tr>
      <w:tr w:rsidR="0031231B" w:rsidRPr="00AA1AF6">
        <w:trPr>
          <w:trHeight w:val="340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7099.468299</w:t>
            </w:r>
          </w:p>
        </w:tc>
      </w:tr>
    </w:tbl>
    <w:p w:rsidR="0031231B" w:rsidRPr="00AA1AF6" w:rsidRDefault="0031231B" w:rsidP="0031231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AA1AF6"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  <w:r w:rsidRPr="00AA1AF6">
        <w:rPr>
          <w:rFonts w:ascii="黑体" w:eastAsia="黑体" w:hAnsi="黑体" w:cs="黑体"/>
          <w:sz w:val="32"/>
          <w:szCs w:val="32"/>
        </w:rPr>
        <w:t xml:space="preserve">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66"/>
        <w:gridCol w:w="943"/>
        <w:gridCol w:w="3212"/>
        <w:gridCol w:w="698"/>
        <w:gridCol w:w="687"/>
        <w:gridCol w:w="687"/>
        <w:gridCol w:w="687"/>
        <w:gridCol w:w="687"/>
        <w:gridCol w:w="687"/>
        <w:gridCol w:w="694"/>
      </w:tblGrid>
      <w:tr w:rsidR="0031231B" w:rsidRPr="00AA1AF6" w:rsidTr="00AA1AF6">
        <w:trPr>
          <w:trHeight w:val="340"/>
          <w:jc w:val="center"/>
        </w:trPr>
        <w:tc>
          <w:tcPr>
            <w:tcW w:w="492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（本列数据的勾稽关系为：第一项加第二项之和，等于第三项加第四项之和）</w:t>
            </w:r>
          </w:p>
        </w:tc>
        <w:tc>
          <w:tcPr>
            <w:tcW w:w="482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申请人情况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gridSpan w:val="3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自然人</w:t>
            </w:r>
          </w:p>
        </w:tc>
        <w:tc>
          <w:tcPr>
            <w:tcW w:w="3435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法人或其他组织</w:t>
            </w:r>
          </w:p>
        </w:tc>
        <w:tc>
          <w:tcPr>
            <w:tcW w:w="69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gridSpan w:val="3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商业</w:t>
            </w:r>
          </w:p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企业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科研</w:t>
            </w:r>
          </w:p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机构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社会公益组织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法律服务机构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49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523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2E5FA9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529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49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三、本年度办理结果</w:t>
            </w:r>
          </w:p>
        </w:tc>
        <w:tc>
          <w:tcPr>
            <w:tcW w:w="41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（一）予以公开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211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（二）部分公开（区分处理的，只计这一情形，不计其他情形）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81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（三）不予公开</w:t>
            </w: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属于国家秘密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2.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其他法律行政法规禁止公开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3.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危及</w:t>
            </w: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“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三安全一稳定</w:t>
            </w: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”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4.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保护第三方合法权益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5.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属于三类内部事务信息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6.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属于四类过程性信息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7.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属于行政执法案卷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8.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属于行政查询事项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（四）无法提供</w:t>
            </w: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本机关不掌握相关政府信息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147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2.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没有现成信息需要另行制作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2E5FA9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2E5FA9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43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3.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补正后申请内容仍不明确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（五）不予处理</w:t>
            </w: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信访举报投诉类申请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2.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重复申请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3.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要求提供公开出版物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4.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无正当理由大量反复申请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5.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要求行政机关确认或重新出具已获取信息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（六）其他处理</w:t>
            </w: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申请人无正当理由逾期不补正、行政机关不再处理其政府信息公开申请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</w:p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2.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申请人逾期未按收费通知要求缴纳费用、行政机关不再处理其政府信息公开申请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3.</w:t>
            </w: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spacing w:line="26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（七）总计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503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509</w:t>
            </w:r>
          </w:p>
        </w:tc>
      </w:tr>
      <w:tr w:rsidR="0031231B" w:rsidRPr="00AA1AF6" w:rsidTr="00AA1AF6">
        <w:trPr>
          <w:trHeight w:val="340"/>
          <w:jc w:val="center"/>
        </w:trPr>
        <w:tc>
          <w:tcPr>
            <w:tcW w:w="492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kern w:val="0"/>
                <w:sz w:val="20"/>
                <w:szCs w:val="20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6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231B" w:rsidRPr="00AA1AF6" w:rsidRDefault="0031231B" w:rsidP="00C03C2A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25</w:t>
            </w:r>
          </w:p>
        </w:tc>
      </w:tr>
    </w:tbl>
    <w:p w:rsidR="0031231B" w:rsidRDefault="0031231B" w:rsidP="0031231B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</w:p>
    <w:p w:rsidR="0031231B" w:rsidRPr="00C03C2A" w:rsidRDefault="0031231B" w:rsidP="00AA1AF6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A1AF6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5369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5"/>
        <w:gridCol w:w="604"/>
        <w:gridCol w:w="603"/>
        <w:gridCol w:w="603"/>
        <w:gridCol w:w="607"/>
        <w:gridCol w:w="603"/>
        <w:gridCol w:w="603"/>
        <w:gridCol w:w="603"/>
        <w:gridCol w:w="603"/>
        <w:gridCol w:w="609"/>
        <w:gridCol w:w="603"/>
        <w:gridCol w:w="603"/>
        <w:gridCol w:w="603"/>
        <w:gridCol w:w="603"/>
        <w:gridCol w:w="934"/>
      </w:tblGrid>
      <w:tr w:rsidR="0031231B" w:rsidRPr="00AA1AF6" w:rsidTr="00AA1AF6">
        <w:trPr>
          <w:trHeight w:val="397"/>
        </w:trPr>
        <w:tc>
          <w:tcPr>
            <w:tcW w:w="1727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行政复议</w:t>
            </w:r>
          </w:p>
        </w:tc>
        <w:tc>
          <w:tcPr>
            <w:tcW w:w="3273" w:type="pct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行政诉讼</w:t>
            </w:r>
          </w:p>
        </w:tc>
      </w:tr>
      <w:tr w:rsidR="0031231B" w:rsidRPr="00AA1AF6" w:rsidTr="00AA1AF6">
        <w:trPr>
          <w:trHeight w:val="397"/>
        </w:trPr>
        <w:tc>
          <w:tcPr>
            <w:tcW w:w="4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结果维持</w:t>
            </w:r>
          </w:p>
        </w:tc>
        <w:tc>
          <w:tcPr>
            <w:tcW w:w="31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纠正</w:t>
            </w:r>
          </w:p>
        </w:tc>
        <w:tc>
          <w:tcPr>
            <w:tcW w:w="31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</w:p>
        </w:tc>
        <w:tc>
          <w:tcPr>
            <w:tcW w:w="31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审结</w:t>
            </w:r>
          </w:p>
        </w:tc>
        <w:tc>
          <w:tcPr>
            <w:tcW w:w="31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1553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未经复议直接起诉</w:t>
            </w:r>
          </w:p>
        </w:tc>
        <w:tc>
          <w:tcPr>
            <w:tcW w:w="1721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复议后起诉</w:t>
            </w:r>
          </w:p>
        </w:tc>
      </w:tr>
      <w:tr w:rsidR="0031231B" w:rsidRPr="00AA1AF6" w:rsidTr="00AA1AF6">
        <w:trPr>
          <w:trHeight w:val="397"/>
        </w:trPr>
        <w:tc>
          <w:tcPr>
            <w:tcW w:w="485" w:type="pct"/>
            <w:vMerge/>
            <w:shd w:val="clear" w:color="auto" w:fill="FFFFFF"/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FFFFFF"/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维持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纠正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审结</w:t>
            </w:r>
          </w:p>
        </w:tc>
        <w:tc>
          <w:tcPr>
            <w:tcW w:w="3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维持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纠正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AA1AF6">
              <w:rPr>
                <w:rFonts w:ascii="Times New Roman" w:eastAsia="方正仿宋简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</w:r>
            <w:r w:rsidRPr="00AA1AF6">
              <w:rPr>
                <w:rFonts w:ascii="Times New Roman" w:eastAsia="方正仿宋简体" w:hAnsi="Times New Roman" w:cs="方正仿宋简体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审结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方正仿宋简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31231B" w:rsidRPr="00AA1AF6" w:rsidTr="00AA1AF6">
        <w:trPr>
          <w:trHeight w:val="397"/>
        </w:trPr>
        <w:tc>
          <w:tcPr>
            <w:tcW w:w="4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A1AF6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31B" w:rsidRPr="00AA1AF6" w:rsidRDefault="0031231B" w:rsidP="00C03C2A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</w:pPr>
            <w:r w:rsidRPr="00AA1AF6">
              <w:rPr>
                <w:rFonts w:ascii="Times New Roman" w:eastAsia="方正仿宋简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</w:tbl>
    <w:p w:rsidR="0031231B" w:rsidRPr="00C03C2A" w:rsidRDefault="0031231B" w:rsidP="0031231B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A1AF6"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年我市政府信息公开工作总体情况持续向好，但差距和不足仍然存在，主要有：一是公开队伍稳定性较差，部分业务人员业务水平能力尚需提升；二是个别单位信息发布审核有待进一步规范。</w:t>
      </w:r>
    </w:p>
    <w:p w:rsidR="0031231B" w:rsidRPr="00AA1AF6" w:rsidRDefault="0031231B" w:rsidP="00AA1AF6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对此，我市将在今后工作中加以改进：一是进一步加强队伍建设，落实工作交接，持续开展政务公开培训工作；二是严格审查信息发布，明确责任主体，不断优化信息发布流程，确保信息发布规范性、严肃性。</w:t>
      </w:r>
    </w:p>
    <w:p w:rsidR="0031231B" w:rsidRPr="00C03C2A" w:rsidRDefault="0031231B" w:rsidP="00AA1AF6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A1AF6"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31231B" w:rsidRPr="00AA1AF6" w:rsidRDefault="0031231B" w:rsidP="00A761F8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我市严格依照《国务院办公厅关于印发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&lt;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政府信息公开信息处理费管理办法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&gt;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的通知》（国办函〔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109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号）规定，共发送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份信息处理费缴纳通知，通知收取金额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600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元，实际收取金额</w:t>
      </w:r>
      <w:r w:rsidRPr="00AA1AF6">
        <w:rPr>
          <w:rFonts w:ascii="Times New Roman" w:eastAsia="方正仿宋简体" w:hAnsi="Times New Roman" w:cs="Times New Roman"/>
          <w:sz w:val="32"/>
          <w:szCs w:val="32"/>
        </w:rPr>
        <w:t>600</w:t>
      </w:r>
      <w:r w:rsidRPr="00AA1AF6">
        <w:rPr>
          <w:rFonts w:ascii="Times New Roman" w:eastAsia="方正仿宋简体" w:hAnsi="Times New Roman" w:cs="方正仿宋简体" w:hint="eastAsia"/>
          <w:sz w:val="32"/>
          <w:szCs w:val="32"/>
        </w:rPr>
        <w:t>元。</w:t>
      </w:r>
    </w:p>
    <w:sectPr w:rsidR="0031231B" w:rsidRPr="00AA1AF6" w:rsidSect="00AA1AF6">
      <w:footerReference w:type="default" r:id="rId7"/>
      <w:pgSz w:w="11906" w:h="16838" w:code="9"/>
      <w:pgMar w:top="1701" w:right="1474" w:bottom="1588" w:left="1588" w:header="851" w:footer="1418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1B" w:rsidRDefault="0031231B" w:rsidP="00437A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231B" w:rsidRDefault="0031231B" w:rsidP="00437A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1B" w:rsidRPr="00C03C2A" w:rsidRDefault="0031231B" w:rsidP="00A761F8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eastAsia="宋体" w:hAnsi="宋体" w:cs="Times New Roman"/>
        <w:sz w:val="28"/>
        <w:szCs w:val="28"/>
      </w:rPr>
    </w:pPr>
    <w:r w:rsidRPr="00C03C2A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C03C2A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C03C2A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C03C2A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2</w:t>
    </w:r>
    <w:r w:rsidRPr="00C03C2A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C03C2A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31231B" w:rsidRDefault="0031231B" w:rsidP="00C03C2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1B" w:rsidRDefault="0031231B" w:rsidP="00437A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231B" w:rsidRDefault="0031231B" w:rsidP="00437A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858"/>
    <w:multiLevelType w:val="hybridMultilevel"/>
    <w:tmpl w:val="666EFAA0"/>
    <w:lvl w:ilvl="0" w:tplc="D38415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F30191"/>
    <w:multiLevelType w:val="hybridMultilevel"/>
    <w:tmpl w:val="82685D44"/>
    <w:lvl w:ilvl="0" w:tplc="F6802CC8">
      <w:start w:val="1"/>
      <w:numFmt w:val="japaneseCounting"/>
      <w:lvlText w:val="（%1）"/>
      <w:lvlJc w:val="left"/>
      <w:pPr>
        <w:ind w:left="1612" w:hanging="972"/>
      </w:pPr>
      <w:rPr>
        <w:rFonts w:ascii="等线" w:eastAsia="等线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08D76B0"/>
    <w:multiLevelType w:val="hybridMultilevel"/>
    <w:tmpl w:val="B04606B6"/>
    <w:lvl w:ilvl="0" w:tplc="B8A295AE">
      <w:start w:val="1"/>
      <w:numFmt w:val="japaneseCounting"/>
      <w:lvlText w:val="（%1）"/>
      <w:lvlJc w:val="left"/>
      <w:pPr>
        <w:ind w:left="1720" w:hanging="1080"/>
      </w:pPr>
      <w:rPr>
        <w:rFonts w:ascii="等线" w:eastAsia="等线" w:hAnsi="等线" w:hint="default"/>
        <w:color w:val="auto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3856691"/>
    <w:multiLevelType w:val="hybridMultilevel"/>
    <w:tmpl w:val="193C8A9C"/>
    <w:lvl w:ilvl="0" w:tplc="C4D01D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5BA0F7D"/>
    <w:multiLevelType w:val="hybridMultilevel"/>
    <w:tmpl w:val="BCCC5C7E"/>
    <w:lvl w:ilvl="0" w:tplc="8AD0D8A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07D6A2A"/>
    <w:multiLevelType w:val="hybridMultilevel"/>
    <w:tmpl w:val="EBC23438"/>
    <w:lvl w:ilvl="0" w:tplc="7794E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2464499"/>
    <w:multiLevelType w:val="hybridMultilevel"/>
    <w:tmpl w:val="EE5A8FCC"/>
    <w:lvl w:ilvl="0" w:tplc="05167D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063"/>
    <w:rsid w:val="00022180"/>
    <w:rsid w:val="000636EB"/>
    <w:rsid w:val="00071118"/>
    <w:rsid w:val="000800DE"/>
    <w:rsid w:val="00093F3D"/>
    <w:rsid w:val="000D3B7C"/>
    <w:rsid w:val="000D4C4E"/>
    <w:rsid w:val="001B24D6"/>
    <w:rsid w:val="001D7AAB"/>
    <w:rsid w:val="001E1BA4"/>
    <w:rsid w:val="0024495E"/>
    <w:rsid w:val="00284CAB"/>
    <w:rsid w:val="00285749"/>
    <w:rsid w:val="002B0AC1"/>
    <w:rsid w:val="002B41D1"/>
    <w:rsid w:val="002B72C5"/>
    <w:rsid w:val="002D1EB5"/>
    <w:rsid w:val="002E5FA9"/>
    <w:rsid w:val="00303D53"/>
    <w:rsid w:val="0031231B"/>
    <w:rsid w:val="00315E7C"/>
    <w:rsid w:val="00322C8D"/>
    <w:rsid w:val="00367321"/>
    <w:rsid w:val="00376373"/>
    <w:rsid w:val="00381E0E"/>
    <w:rsid w:val="003D1CD7"/>
    <w:rsid w:val="003F4312"/>
    <w:rsid w:val="0040411E"/>
    <w:rsid w:val="00427D45"/>
    <w:rsid w:val="00437AEB"/>
    <w:rsid w:val="004C23C9"/>
    <w:rsid w:val="004C3970"/>
    <w:rsid w:val="004C3AD3"/>
    <w:rsid w:val="004C74A5"/>
    <w:rsid w:val="005105FD"/>
    <w:rsid w:val="00531EB9"/>
    <w:rsid w:val="00535740"/>
    <w:rsid w:val="00545929"/>
    <w:rsid w:val="005466A9"/>
    <w:rsid w:val="005468AC"/>
    <w:rsid w:val="00564C84"/>
    <w:rsid w:val="005836C8"/>
    <w:rsid w:val="005C7A39"/>
    <w:rsid w:val="005D7A70"/>
    <w:rsid w:val="005E24E7"/>
    <w:rsid w:val="006403F3"/>
    <w:rsid w:val="00641215"/>
    <w:rsid w:val="006503C9"/>
    <w:rsid w:val="006632C9"/>
    <w:rsid w:val="0066652B"/>
    <w:rsid w:val="00666ECF"/>
    <w:rsid w:val="00684193"/>
    <w:rsid w:val="00696E64"/>
    <w:rsid w:val="006D0D16"/>
    <w:rsid w:val="006D27D4"/>
    <w:rsid w:val="006D63C4"/>
    <w:rsid w:val="006E30FF"/>
    <w:rsid w:val="00747381"/>
    <w:rsid w:val="007769DB"/>
    <w:rsid w:val="007942D4"/>
    <w:rsid w:val="007C3293"/>
    <w:rsid w:val="007E1EA5"/>
    <w:rsid w:val="007F5DC9"/>
    <w:rsid w:val="008117F8"/>
    <w:rsid w:val="00844812"/>
    <w:rsid w:val="00846669"/>
    <w:rsid w:val="00866DC7"/>
    <w:rsid w:val="008749BF"/>
    <w:rsid w:val="008C0DCF"/>
    <w:rsid w:val="008F3597"/>
    <w:rsid w:val="0096362C"/>
    <w:rsid w:val="009676B5"/>
    <w:rsid w:val="009B4B74"/>
    <w:rsid w:val="009E364E"/>
    <w:rsid w:val="00A21AB5"/>
    <w:rsid w:val="00A5099B"/>
    <w:rsid w:val="00A56E29"/>
    <w:rsid w:val="00A761F8"/>
    <w:rsid w:val="00AA1AF6"/>
    <w:rsid w:val="00AB663C"/>
    <w:rsid w:val="00B15338"/>
    <w:rsid w:val="00B15596"/>
    <w:rsid w:val="00B22B6F"/>
    <w:rsid w:val="00B73063"/>
    <w:rsid w:val="00B806F9"/>
    <w:rsid w:val="00BB59D3"/>
    <w:rsid w:val="00BC3BF0"/>
    <w:rsid w:val="00BD37AF"/>
    <w:rsid w:val="00BF0157"/>
    <w:rsid w:val="00C03C2A"/>
    <w:rsid w:val="00C502E4"/>
    <w:rsid w:val="00C6541B"/>
    <w:rsid w:val="00C8526C"/>
    <w:rsid w:val="00D6207A"/>
    <w:rsid w:val="00D80AB9"/>
    <w:rsid w:val="00D90DFF"/>
    <w:rsid w:val="00DA6102"/>
    <w:rsid w:val="00DB7942"/>
    <w:rsid w:val="00E35681"/>
    <w:rsid w:val="00E44DE0"/>
    <w:rsid w:val="00E63962"/>
    <w:rsid w:val="00E86322"/>
    <w:rsid w:val="00EA70BD"/>
    <w:rsid w:val="00EE1794"/>
    <w:rsid w:val="00EE3E4F"/>
    <w:rsid w:val="00EF47C9"/>
    <w:rsid w:val="00F336FE"/>
    <w:rsid w:val="00F41DCA"/>
    <w:rsid w:val="00F428C5"/>
    <w:rsid w:val="00F65192"/>
    <w:rsid w:val="00F83339"/>
    <w:rsid w:val="00FB125A"/>
    <w:rsid w:val="00FC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8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5596"/>
    <w:pPr>
      <w:ind w:firstLineChars="200" w:firstLine="420"/>
    </w:pPr>
  </w:style>
  <w:style w:type="character" w:customStyle="1" w:styleId="b-free-read-leaf">
    <w:name w:val="b-free-read-leaf"/>
    <w:basedOn w:val="DefaultParagraphFont"/>
    <w:uiPriority w:val="99"/>
    <w:rsid w:val="00696E64"/>
  </w:style>
  <w:style w:type="paragraph" w:customStyle="1" w:styleId="CharChar1">
    <w:name w:val="Char Char1"/>
    <w:basedOn w:val="Normal"/>
    <w:uiPriority w:val="99"/>
    <w:rsid w:val="008749BF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2B7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7AE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37AE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7AE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03C2A"/>
  </w:style>
  <w:style w:type="paragraph" w:styleId="Date">
    <w:name w:val="Date"/>
    <w:basedOn w:val="Normal"/>
    <w:next w:val="Normal"/>
    <w:link w:val="DateChar"/>
    <w:uiPriority w:val="99"/>
    <w:semiHidden/>
    <w:rsid w:val="00A5099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5099B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1238</TotalTime>
  <Pages>5</Pages>
  <Words>440</Words>
  <Characters>2511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71</cp:revision>
  <cp:lastPrinted>2025-01-21T07:54:00Z</cp:lastPrinted>
  <dcterms:created xsi:type="dcterms:W3CDTF">2025-01-13T01:42:00Z</dcterms:created>
  <dcterms:modified xsi:type="dcterms:W3CDTF">2025-02-13T07:10:00Z</dcterms:modified>
</cp:coreProperties>
</file>