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361CC">
      <w:pPr>
        <w:adjustRightInd w:val="0"/>
        <w:snapToGrid w:val="0"/>
        <w:spacing w:line="560" w:lineRule="exact"/>
        <w:rPr>
          <w:rFonts w:eastAsia="仿宋_GB2312"/>
          <w:sz w:val="32"/>
          <w:szCs w:val="32"/>
        </w:rPr>
      </w:pPr>
    </w:p>
    <w:p w14:paraId="55A849A5">
      <w:pPr>
        <w:adjustRightInd w:val="0"/>
        <w:snapToGrid w:val="0"/>
        <w:spacing w:line="560" w:lineRule="exact"/>
        <w:rPr>
          <w:rFonts w:eastAsia="仿宋_GB2312"/>
          <w:sz w:val="32"/>
          <w:szCs w:val="32"/>
        </w:rPr>
      </w:pPr>
    </w:p>
    <w:p w14:paraId="7E662865">
      <w:pPr>
        <w:adjustRightInd w:val="0"/>
        <w:snapToGrid w:val="0"/>
        <w:spacing w:line="560" w:lineRule="exact"/>
        <w:rPr>
          <w:rFonts w:eastAsia="仿宋_GB2312"/>
          <w:sz w:val="32"/>
          <w:szCs w:val="32"/>
        </w:rPr>
      </w:pPr>
    </w:p>
    <w:p w14:paraId="6BFD0C11">
      <w:pPr>
        <w:adjustRightInd w:val="0"/>
        <w:snapToGrid w:val="0"/>
        <w:spacing w:line="560" w:lineRule="exact"/>
        <w:rPr>
          <w:rFonts w:eastAsia="仿宋_GB2312"/>
          <w:sz w:val="32"/>
          <w:szCs w:val="32"/>
        </w:rPr>
      </w:pPr>
    </w:p>
    <w:p w14:paraId="12DA2F51">
      <w:pPr>
        <w:adjustRightInd w:val="0"/>
        <w:snapToGrid w:val="0"/>
        <w:spacing w:line="560" w:lineRule="exact"/>
        <w:rPr>
          <w:rFonts w:eastAsia="仿宋_GB2312"/>
          <w:sz w:val="32"/>
          <w:szCs w:val="32"/>
        </w:rPr>
      </w:pPr>
    </w:p>
    <w:p w14:paraId="59E75F60">
      <w:pPr>
        <w:adjustRightInd w:val="0"/>
        <w:snapToGrid w:val="0"/>
        <w:spacing w:line="560" w:lineRule="exact"/>
        <w:rPr>
          <w:rFonts w:eastAsia="仿宋_GB2312"/>
          <w:sz w:val="32"/>
          <w:szCs w:val="32"/>
        </w:rPr>
      </w:pPr>
    </w:p>
    <w:p w14:paraId="3AE3BD3A">
      <w:pPr>
        <w:adjustRightInd w:val="0"/>
        <w:snapToGrid w:val="0"/>
        <w:spacing w:line="560" w:lineRule="exact"/>
        <w:rPr>
          <w:rFonts w:eastAsia="仿宋_GB2312"/>
          <w:sz w:val="32"/>
          <w:szCs w:val="32"/>
        </w:rPr>
      </w:pPr>
    </w:p>
    <w:p w14:paraId="750D4F98">
      <w:pPr>
        <w:adjustRightInd w:val="0"/>
        <w:snapToGrid w:val="0"/>
        <w:spacing w:line="560" w:lineRule="exact"/>
        <w:rPr>
          <w:rFonts w:eastAsia="仿宋_GB2312"/>
          <w:sz w:val="32"/>
          <w:szCs w:val="32"/>
        </w:rPr>
      </w:pPr>
    </w:p>
    <w:p w14:paraId="5A211447">
      <w:pPr>
        <w:adjustRightInd w:val="0"/>
        <w:snapToGrid w:val="0"/>
        <w:spacing w:line="560" w:lineRule="exact"/>
        <w:jc w:val="center"/>
        <w:rPr>
          <w:rFonts w:eastAsia="仿宋_GB2312"/>
          <w:sz w:val="32"/>
          <w:szCs w:val="32"/>
        </w:rPr>
      </w:pPr>
      <w:r>
        <w:rPr>
          <w:rFonts w:eastAsia="仿宋_GB2312"/>
          <w:sz w:val="32"/>
          <w:szCs w:val="32"/>
        </w:rPr>
        <w:t>南文体旅〔2025〕18号</w:t>
      </w:r>
    </w:p>
    <w:p w14:paraId="372D6525">
      <w:pPr>
        <w:adjustRightInd w:val="0"/>
        <w:snapToGrid w:val="0"/>
        <w:spacing w:line="560" w:lineRule="exact"/>
        <w:jc w:val="center"/>
        <w:rPr>
          <w:rFonts w:eastAsia="仿宋_GB2312"/>
          <w:sz w:val="32"/>
          <w:szCs w:val="32"/>
        </w:rPr>
      </w:pPr>
    </w:p>
    <w:p w14:paraId="54BD3A79">
      <w:pPr>
        <w:adjustRightInd w:val="0"/>
        <w:snapToGrid w:val="0"/>
        <w:spacing w:line="560" w:lineRule="exact"/>
        <w:jc w:val="center"/>
        <w:rPr>
          <w:rFonts w:eastAsia="方正小标宋简体"/>
          <w:bCs/>
          <w:sz w:val="44"/>
          <w:szCs w:val="36"/>
        </w:rPr>
      </w:pPr>
      <w:bookmarkStart w:id="0" w:name="qfrq"/>
      <w:r>
        <w:rPr>
          <w:rFonts w:eastAsia="方正小标宋简体"/>
          <w:kern w:val="0"/>
          <w:sz w:val="44"/>
          <w:szCs w:val="44"/>
        </w:rPr>
        <w:t>南安市文化体育和旅游局关于印发</w:t>
      </w:r>
      <w:r>
        <w:rPr>
          <w:rFonts w:eastAsia="方正小标宋简体"/>
          <w:bCs/>
          <w:sz w:val="44"/>
          <w:szCs w:val="36"/>
        </w:rPr>
        <w:t>南安市</w:t>
      </w:r>
    </w:p>
    <w:p w14:paraId="5FD2F1C9">
      <w:pPr>
        <w:adjustRightInd w:val="0"/>
        <w:snapToGrid w:val="0"/>
        <w:spacing w:line="560" w:lineRule="exact"/>
        <w:jc w:val="center"/>
        <w:rPr>
          <w:rFonts w:eastAsia="方正小标宋简体"/>
          <w:bCs/>
          <w:sz w:val="44"/>
          <w:szCs w:val="36"/>
        </w:rPr>
      </w:pPr>
      <w:r>
        <w:rPr>
          <w:rFonts w:eastAsia="方正小标宋简体"/>
          <w:bCs/>
          <w:sz w:val="44"/>
          <w:szCs w:val="36"/>
        </w:rPr>
        <w:t>文体旅行业落实企业全员安全生产责任制</w:t>
      </w:r>
    </w:p>
    <w:p w14:paraId="36A03AB4">
      <w:pPr>
        <w:adjustRightInd w:val="0"/>
        <w:snapToGrid w:val="0"/>
        <w:spacing w:line="560" w:lineRule="exact"/>
        <w:jc w:val="center"/>
        <w:rPr>
          <w:rFonts w:eastAsia="方正小标宋简体"/>
          <w:bCs/>
          <w:sz w:val="44"/>
          <w:szCs w:val="36"/>
        </w:rPr>
      </w:pPr>
      <w:r>
        <w:rPr>
          <w:rFonts w:eastAsia="方正小标宋简体"/>
          <w:bCs/>
          <w:sz w:val="44"/>
          <w:szCs w:val="36"/>
        </w:rPr>
        <w:t>拓展安全生产标准化提升专项行动</w:t>
      </w:r>
    </w:p>
    <w:p w14:paraId="4E041D02">
      <w:pPr>
        <w:adjustRightInd w:val="0"/>
        <w:snapToGrid w:val="0"/>
        <w:spacing w:line="560" w:lineRule="exact"/>
        <w:jc w:val="center"/>
        <w:rPr>
          <w:rFonts w:eastAsia="方正小标宋简体"/>
          <w:kern w:val="0"/>
          <w:sz w:val="44"/>
          <w:szCs w:val="44"/>
        </w:rPr>
      </w:pPr>
      <w:r>
        <w:rPr>
          <w:rFonts w:eastAsia="方正小标宋简体"/>
          <w:bCs/>
          <w:sz w:val="44"/>
          <w:szCs w:val="36"/>
        </w:rPr>
        <w:t>2025年持续深化方案</w:t>
      </w:r>
      <w:r>
        <w:rPr>
          <w:rFonts w:eastAsia="方正小标宋简体"/>
          <w:kern w:val="0"/>
          <w:sz w:val="44"/>
          <w:szCs w:val="44"/>
        </w:rPr>
        <w:t>的通知</w:t>
      </w:r>
    </w:p>
    <w:p w14:paraId="5D76E002">
      <w:pPr>
        <w:pStyle w:val="2"/>
        <w:spacing w:line="560" w:lineRule="exact"/>
        <w:rPr>
          <w:rFonts w:eastAsia="方正小标宋简体"/>
          <w:kern w:val="0"/>
          <w:sz w:val="44"/>
          <w:szCs w:val="44"/>
        </w:rPr>
      </w:pPr>
    </w:p>
    <w:p w14:paraId="55F29A43">
      <w:pPr>
        <w:adjustRightInd w:val="0"/>
        <w:snapToGrid w:val="0"/>
        <w:spacing w:line="560" w:lineRule="exact"/>
        <w:ind w:left="640" w:hanging="640" w:hangingChars="200"/>
        <w:jc w:val="left"/>
        <w:rPr>
          <w:rFonts w:eastAsia="仿宋_GB2312"/>
          <w:sz w:val="32"/>
          <w:szCs w:val="32"/>
        </w:rPr>
      </w:pPr>
      <w:r>
        <w:rPr>
          <w:rFonts w:eastAsia="仿宋_GB2312"/>
          <w:sz w:val="32"/>
          <w:szCs w:val="32"/>
        </w:rPr>
        <w:t>局机关各科室、各所属事业单位，文化市场综合执法大队：</w:t>
      </w:r>
    </w:p>
    <w:p w14:paraId="437834AD">
      <w:pPr>
        <w:adjustRightInd w:val="0"/>
        <w:snapToGrid w:val="0"/>
        <w:spacing w:line="560" w:lineRule="exact"/>
        <w:ind w:left="639" w:leftChars="152" w:hanging="320" w:hangingChars="100"/>
        <w:jc w:val="left"/>
        <w:rPr>
          <w:rFonts w:eastAsia="仿宋_GB2312"/>
          <w:sz w:val="32"/>
          <w:szCs w:val="32"/>
        </w:rPr>
      </w:pPr>
      <w:r>
        <w:rPr>
          <w:rFonts w:eastAsia="仿宋_GB2312"/>
          <w:sz w:val="32"/>
          <w:szCs w:val="32"/>
        </w:rPr>
        <w:t>现将《南安市文体旅行业落实企业全员安全生产责任制拓展安</w:t>
      </w:r>
    </w:p>
    <w:p w14:paraId="6DE9BDB0">
      <w:pPr>
        <w:adjustRightInd w:val="0"/>
        <w:snapToGrid w:val="0"/>
        <w:spacing w:line="560" w:lineRule="exact"/>
        <w:jc w:val="left"/>
        <w:rPr>
          <w:rFonts w:eastAsia="仿宋_GB2312"/>
          <w:sz w:val="32"/>
          <w:szCs w:val="32"/>
        </w:rPr>
      </w:pPr>
      <w:r>
        <w:rPr>
          <w:rFonts w:eastAsia="仿宋_GB2312"/>
          <w:sz w:val="32"/>
          <w:szCs w:val="32"/>
        </w:rPr>
        <w:t>全生产标准化提升专项行动2025年持续深化方案》印发给你们，请认真贯彻执行。</w:t>
      </w:r>
    </w:p>
    <w:p w14:paraId="637C2F90">
      <w:pPr>
        <w:pStyle w:val="2"/>
        <w:spacing w:line="560" w:lineRule="exact"/>
        <w:rPr>
          <w:rFonts w:eastAsia="仿宋_GB2312"/>
          <w:sz w:val="32"/>
          <w:szCs w:val="32"/>
        </w:rPr>
      </w:pPr>
    </w:p>
    <w:p w14:paraId="183F6484">
      <w:pPr>
        <w:spacing w:line="560" w:lineRule="exact"/>
        <w:jc w:val="right"/>
        <w:rPr>
          <w:rFonts w:eastAsia="仿宋_GB2312"/>
          <w:sz w:val="32"/>
          <w:szCs w:val="32"/>
        </w:rPr>
      </w:pPr>
      <w:r>
        <w:rPr>
          <w:rFonts w:eastAsia="仿宋_GB2312"/>
          <w:sz w:val="32"/>
          <w:szCs w:val="32"/>
        </w:rPr>
        <w:t>南安市文化体育和旅游局</w:t>
      </w:r>
    </w:p>
    <w:p w14:paraId="1B3E59B2">
      <w:pPr>
        <w:spacing w:line="560" w:lineRule="exact"/>
        <w:jc w:val="center"/>
        <w:rPr>
          <w:rFonts w:eastAsia="仿宋_GB2312"/>
          <w:sz w:val="32"/>
          <w:szCs w:val="32"/>
        </w:rPr>
      </w:pPr>
      <w:r>
        <w:rPr>
          <w:rFonts w:eastAsia="仿宋_GB2312"/>
          <w:sz w:val="32"/>
          <w:szCs w:val="32"/>
        </w:rPr>
        <w:t xml:space="preserve">                                2025年2月14日</w:t>
      </w:r>
    </w:p>
    <w:p w14:paraId="290E4CFD">
      <w:pPr>
        <w:spacing w:line="560" w:lineRule="exact"/>
        <w:ind w:firstLine="640" w:firstLineChars="200"/>
        <w:jc w:val="left"/>
        <w:rPr>
          <w:rFonts w:eastAsia="仿宋_GB2312"/>
          <w:sz w:val="32"/>
          <w:szCs w:val="32"/>
        </w:rPr>
      </w:pPr>
      <w:r>
        <w:rPr>
          <w:rFonts w:eastAsia="仿宋_GB2312"/>
          <w:sz w:val="32"/>
          <w:szCs w:val="32"/>
        </w:rPr>
        <w:t>（此件主动公开）</w:t>
      </w:r>
    </w:p>
    <w:p w14:paraId="13C7351D">
      <w:pPr>
        <w:spacing w:line="560" w:lineRule="exact"/>
        <w:jc w:val="center"/>
        <w:rPr>
          <w:rFonts w:eastAsia="仿宋_GB2312"/>
          <w:sz w:val="32"/>
          <w:szCs w:val="32"/>
        </w:rPr>
        <w:sectPr>
          <w:footerReference r:id="rId3" w:type="default"/>
          <w:footerReference r:id="rId4" w:type="even"/>
          <w:pgSz w:w="11906" w:h="16838"/>
          <w:pgMar w:top="2098" w:right="1531" w:bottom="1134" w:left="1531" w:header="851" w:footer="992" w:gutter="0"/>
          <w:pgNumType w:fmt="numberInDash"/>
          <w:cols w:space="720" w:num="1"/>
          <w:docGrid w:type="lines" w:linePitch="312" w:charSpace="0"/>
        </w:sectPr>
      </w:pPr>
    </w:p>
    <w:p w14:paraId="2AF7356B">
      <w:pPr>
        <w:adjustRightInd w:val="0"/>
        <w:snapToGrid w:val="0"/>
        <w:spacing w:line="560" w:lineRule="exact"/>
        <w:jc w:val="center"/>
        <w:rPr>
          <w:rFonts w:eastAsia="方正小标宋简体"/>
          <w:bCs/>
          <w:sz w:val="44"/>
          <w:szCs w:val="36"/>
        </w:rPr>
      </w:pPr>
      <w:r>
        <w:rPr>
          <w:rFonts w:eastAsia="方正小标宋简体"/>
          <w:bCs/>
          <w:sz w:val="44"/>
          <w:szCs w:val="36"/>
        </w:rPr>
        <w:t>南安市文体旅行业落实企业全员安全生产</w:t>
      </w:r>
    </w:p>
    <w:p w14:paraId="479DA777">
      <w:pPr>
        <w:adjustRightInd w:val="0"/>
        <w:snapToGrid w:val="0"/>
        <w:spacing w:line="560" w:lineRule="exact"/>
        <w:jc w:val="center"/>
        <w:rPr>
          <w:rFonts w:eastAsia="方正小标宋简体"/>
          <w:bCs/>
          <w:sz w:val="44"/>
          <w:szCs w:val="36"/>
        </w:rPr>
      </w:pPr>
      <w:r>
        <w:rPr>
          <w:rFonts w:eastAsia="方正小标宋简体"/>
          <w:bCs/>
          <w:sz w:val="44"/>
          <w:szCs w:val="36"/>
        </w:rPr>
        <w:t>责任制拓展安全生产标准化提升专项行动</w:t>
      </w:r>
    </w:p>
    <w:p w14:paraId="5B817006">
      <w:pPr>
        <w:adjustRightInd w:val="0"/>
        <w:snapToGrid w:val="0"/>
        <w:spacing w:line="560" w:lineRule="exact"/>
        <w:jc w:val="center"/>
        <w:rPr>
          <w:rFonts w:eastAsia="方正小标宋简体"/>
          <w:bCs/>
          <w:sz w:val="44"/>
          <w:szCs w:val="36"/>
        </w:rPr>
      </w:pPr>
      <w:r>
        <w:rPr>
          <w:rFonts w:eastAsia="方正小标宋简体"/>
          <w:bCs/>
          <w:sz w:val="44"/>
          <w:szCs w:val="36"/>
        </w:rPr>
        <w:t>2025年持续深化方案</w:t>
      </w:r>
    </w:p>
    <w:p w14:paraId="159E1F34">
      <w:pPr>
        <w:pStyle w:val="2"/>
        <w:spacing w:line="560" w:lineRule="exact"/>
      </w:pPr>
    </w:p>
    <w:p w14:paraId="1D627B26">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为深入学习贯彻习近平总书记关于安全生产系列重要指示批示精神，</w:t>
      </w:r>
      <w:r>
        <w:rPr>
          <w:rFonts w:eastAsia="仿宋_GB2312"/>
          <w:sz w:val="32"/>
          <w:szCs w:val="32"/>
        </w:rPr>
        <w:t>落实市委</w:t>
      </w:r>
      <w:r>
        <w:rPr>
          <w:rFonts w:hint="eastAsia" w:eastAsia="仿宋_GB2312"/>
          <w:sz w:val="32"/>
          <w:szCs w:val="32"/>
        </w:rPr>
        <w:t>、</w:t>
      </w:r>
      <w:r>
        <w:rPr>
          <w:rFonts w:eastAsia="仿宋_GB2312"/>
          <w:sz w:val="32"/>
          <w:szCs w:val="32"/>
        </w:rPr>
        <w:t>市政府关于安全生产治本攻坚三年行动决策部署，巩固扩大落实企业全员安全生产责任制（以下简称“全员责任制”）专项行动、安全生产标准化（以下简称“标准化”）提升专项行动成果，持续规范企业（含事业单位、各类场所管理机构、“九小场所”等，下同）安全生产行为，</w:t>
      </w:r>
      <w:r>
        <w:rPr>
          <w:rFonts w:eastAsia="仿宋_GB2312"/>
          <w:kern w:val="0"/>
          <w:sz w:val="32"/>
          <w:szCs w:val="32"/>
        </w:rPr>
        <w:t>夯实安全生产工作基础，努力从根本上消除事故隐患，有效防范生产安全事故，</w:t>
      </w:r>
      <w:r>
        <w:rPr>
          <w:rFonts w:eastAsia="仿宋_GB2312"/>
          <w:sz w:val="32"/>
          <w:szCs w:val="32"/>
        </w:rPr>
        <w:t>决定2025年在全市范围内开展文体旅行业落实企业全员责任制拓展标准化提升专项行动持续深化活动，现结合实际，制定本方案。</w:t>
      </w:r>
    </w:p>
    <w:p w14:paraId="58722C74">
      <w:pPr>
        <w:adjustRightInd w:val="0"/>
        <w:snapToGrid w:val="0"/>
        <w:spacing w:line="560" w:lineRule="exact"/>
        <w:ind w:firstLine="640" w:firstLineChars="200"/>
        <w:rPr>
          <w:rFonts w:eastAsia="黑体"/>
          <w:sz w:val="32"/>
          <w:szCs w:val="32"/>
        </w:rPr>
      </w:pPr>
      <w:r>
        <w:rPr>
          <w:rFonts w:eastAsia="黑体"/>
          <w:sz w:val="32"/>
          <w:szCs w:val="32"/>
        </w:rPr>
        <w:t>一、总体要求</w:t>
      </w:r>
    </w:p>
    <w:p w14:paraId="4BA6E347">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以习近平新时代中国特色社会主义思想为指导，深入贯彻党的二十大和二十届二中、三中全会精神，聚焦“控事故，保安全”的总体目标要求，坚持“巩固成果，提质增效，提档升级”为原则，持续运用改革创新的措施和办法，强化“党政同责、一岗双责、齐抓共管”，深化源头治理、系统治理和综合治理，推进企业安全生产责任制全员落实、标准化全要素提升，不断优化自我约束、自我完善、持续改进的安全生产管理体系，持续提升本质安全水平，促进南安文体旅经济高质量发展和高水平安全良性互动。</w:t>
      </w:r>
    </w:p>
    <w:p w14:paraId="03C8AB57">
      <w:pPr>
        <w:adjustRightInd w:val="0"/>
        <w:snapToGrid w:val="0"/>
        <w:spacing w:line="560" w:lineRule="exact"/>
        <w:ind w:firstLine="640" w:firstLineChars="200"/>
        <w:rPr>
          <w:rFonts w:eastAsia="黑体"/>
          <w:sz w:val="32"/>
          <w:szCs w:val="32"/>
        </w:rPr>
      </w:pPr>
      <w:r>
        <w:rPr>
          <w:rFonts w:eastAsia="黑体"/>
          <w:sz w:val="32"/>
          <w:szCs w:val="32"/>
        </w:rPr>
        <w:t>二、主要目标</w:t>
      </w:r>
    </w:p>
    <w:p w14:paraId="4F7C3CF9">
      <w:pPr>
        <w:adjustRightInd w:val="0"/>
        <w:snapToGrid w:val="0"/>
        <w:spacing w:line="560" w:lineRule="exact"/>
        <w:ind w:firstLine="640" w:firstLineChars="200"/>
        <w:rPr>
          <w:rFonts w:eastAsia="仿宋_GB2312"/>
          <w:sz w:val="32"/>
          <w:szCs w:val="32"/>
        </w:rPr>
      </w:pPr>
      <w:r>
        <w:rPr>
          <w:rFonts w:eastAsia="仿宋_GB2312"/>
          <w:kern w:val="0"/>
          <w:sz w:val="32"/>
          <w:szCs w:val="32"/>
        </w:rPr>
        <w:t>突出以“全员落实、全过程控制、全方位深化、全要素提升”为目标导向，在更加注重整体推进、质量提升、监管创新等“三个更加注重”上下功夫，进一步完善以“1+5”（即标准化+网格化+信息化+双重预防机制+技术服务+约束激励，下同）为主体的推动标准化工作常态化机制建设、运用“33456”工作法（即划分“三类企业”对标创建、建立健全隐患排查治理“三张清单”、实行“四色”安全风险等级动态监管、推行生产经营现场“5S”管理、完善“六有”可视化安全警示标识，下同）提升标准化建设质量，实现标准化与落实全员责任制、企业安全生产星级管理等工作有机融合，有效激发企业提升安全生产能力的内生动力，促进文体旅企业安全基础管理水平不断提升，安全生产治本攻坚各项措施落地见效，较大以上事故得到有效遏制，各类生产安全事故持续减少，全市文体旅行业安全生产形势持续稳定向好。</w:t>
      </w:r>
    </w:p>
    <w:p w14:paraId="272FB169">
      <w:pPr>
        <w:adjustRightInd w:val="0"/>
        <w:snapToGrid w:val="0"/>
        <w:spacing w:line="560" w:lineRule="exact"/>
        <w:ind w:firstLine="640" w:firstLineChars="200"/>
        <w:rPr>
          <w:rFonts w:eastAsia="黑体"/>
          <w:sz w:val="32"/>
          <w:szCs w:val="32"/>
        </w:rPr>
      </w:pPr>
      <w:r>
        <w:rPr>
          <w:rFonts w:eastAsia="黑体"/>
          <w:sz w:val="32"/>
          <w:szCs w:val="32"/>
        </w:rPr>
        <w:t>三、重点任务</w:t>
      </w:r>
    </w:p>
    <w:p w14:paraId="00CA2730">
      <w:pPr>
        <w:adjustRightInd w:val="0"/>
        <w:snapToGrid w:val="0"/>
        <w:spacing w:line="560" w:lineRule="exact"/>
        <w:ind w:firstLine="640" w:firstLineChars="200"/>
        <w:rPr>
          <w:rFonts w:eastAsia="仿宋_GB2312"/>
          <w:sz w:val="32"/>
          <w:szCs w:val="32"/>
        </w:rPr>
      </w:pPr>
      <w:r>
        <w:rPr>
          <w:rFonts w:eastAsia="仿宋_GB2312"/>
          <w:sz w:val="32"/>
          <w:szCs w:val="32"/>
        </w:rPr>
        <w:t>围绕持续深化的目标要求，督促指导企业坚持以落实全员责任制为主线，</w:t>
      </w:r>
      <w:r>
        <w:rPr>
          <w:rFonts w:eastAsia="仿宋_GB2312"/>
          <w:kern w:val="0"/>
          <w:sz w:val="32"/>
          <w:szCs w:val="32"/>
        </w:rPr>
        <w:t>对照《企业安全生产标准化基本规范》（GB/T 33000-2016）和相关规定，结合自身实际，自主持续完善并保持标准化管理体系，切实强化自我检查、自我纠正和自我改进，不断优化安全生产长效机制，增强安全生产能力。</w:t>
      </w:r>
    </w:p>
    <w:p w14:paraId="33AF5F79">
      <w:pPr>
        <w:adjustRightInd w:val="0"/>
        <w:snapToGrid w:val="0"/>
        <w:spacing w:line="560" w:lineRule="exact"/>
        <w:ind w:firstLine="640" w:firstLineChars="200"/>
        <w:rPr>
          <w:rFonts w:eastAsia="仿宋_GB2312"/>
          <w:kern w:val="0"/>
          <w:sz w:val="32"/>
          <w:szCs w:val="32"/>
        </w:rPr>
      </w:pPr>
      <w:r>
        <w:rPr>
          <w:rFonts w:eastAsia="楷体_GB2312"/>
          <w:sz w:val="32"/>
          <w:szCs w:val="32"/>
        </w:rPr>
        <w:t>（一）完善“一套标准规范”。</w:t>
      </w:r>
      <w:r>
        <w:rPr>
          <w:rFonts w:eastAsia="仿宋_GB2312"/>
          <w:kern w:val="0"/>
          <w:sz w:val="32"/>
          <w:szCs w:val="32"/>
        </w:rPr>
        <w:t>系统总结主管行业领域标准化创建、运行、提升和落实企业全员责任制的典型经验做法，全面梳理并评估各自主管行业领域安全生产检查清单、标准化运行提升指南、中等企业和小微企业达标细则、网格员检查导则等“四项规范”编制及其运用情况，认真分析每项规范存在的问题和不足，聚焦《企业安全生产标准化基本规范》（GB/T 33000-2016）、文体旅行业领域重大事故隐患判断标准，对照安全生产相关法律法规、规章制度和标准规范，逐一加以修订、优化和完善，切实提升每项规范的科学性、可操作性和适用性，同步督促指导各自主管行业领域企业对照所属行业领域“四项规范”，结合生产经营实际，编制各自“四项规范”，逐步形成“行业有标准、领域有规范、企业有清单、部门有表册、岗位有卡片”的标准规范体系，切实增强企业安全生产管理的针对性。</w:t>
      </w:r>
    </w:p>
    <w:p w14:paraId="5C283B49">
      <w:pPr>
        <w:adjustRightInd w:val="0"/>
        <w:snapToGrid w:val="0"/>
        <w:spacing w:line="560" w:lineRule="exact"/>
        <w:ind w:firstLine="640" w:firstLineChars="200"/>
        <w:rPr>
          <w:rFonts w:eastAsia="仿宋_GB2312"/>
          <w:sz w:val="32"/>
          <w:szCs w:val="32"/>
        </w:rPr>
      </w:pPr>
      <w:r>
        <w:rPr>
          <w:rFonts w:eastAsia="楷体_GB2312"/>
          <w:sz w:val="32"/>
          <w:szCs w:val="32"/>
        </w:rPr>
        <w:t>（二）狠抓“两个关键少数”。</w:t>
      </w:r>
      <w:r>
        <w:rPr>
          <w:rFonts w:eastAsia="仿宋_GB2312"/>
          <w:sz w:val="32"/>
          <w:szCs w:val="32"/>
        </w:rPr>
        <w:t>各业务科室要紧盯</w:t>
      </w:r>
      <w:r>
        <w:rPr>
          <w:rFonts w:eastAsia="仿宋_GB2312"/>
          <w:kern w:val="0"/>
          <w:sz w:val="32"/>
          <w:szCs w:val="32"/>
        </w:rPr>
        <w:t>各自主管行业领域</w:t>
      </w:r>
      <w:r>
        <w:rPr>
          <w:rFonts w:eastAsia="仿宋_GB2312"/>
          <w:sz w:val="32"/>
          <w:szCs w:val="32"/>
        </w:rPr>
        <w:t>企业主要负责人（含董事长、总经理、实际控制人等，下同）、安全生产管理人员“两个关键少数”，开展针对性强的安全生产教育培训，切实教会其落实全员责任制、提升标准化，充分发挥其决策、引领作用，促使全员责任制、标准化提升各项措施落实到岗位人头、生产经营活动末梢。</w:t>
      </w:r>
    </w:p>
    <w:p w14:paraId="41FA9346">
      <w:pPr>
        <w:adjustRightInd w:val="0"/>
        <w:snapToGrid w:val="0"/>
        <w:spacing w:line="560" w:lineRule="exact"/>
        <w:ind w:firstLine="643" w:firstLineChars="200"/>
        <w:rPr>
          <w:rFonts w:eastAsia="仿宋_GB2312"/>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强化企业主要负责人依法履职。</w:t>
      </w:r>
      <w:r>
        <w:rPr>
          <w:rFonts w:eastAsia="仿宋_GB2312"/>
          <w:sz w:val="32"/>
          <w:szCs w:val="32"/>
        </w:rPr>
        <w:t>各业务科室要督促指导</w:t>
      </w:r>
      <w:r>
        <w:rPr>
          <w:rFonts w:eastAsia="仿宋_GB2312"/>
          <w:kern w:val="0"/>
          <w:sz w:val="32"/>
          <w:szCs w:val="32"/>
        </w:rPr>
        <w:t>各自主管行业领域</w:t>
      </w:r>
      <w:r>
        <w:rPr>
          <w:rFonts w:eastAsia="仿宋_GB2312"/>
          <w:sz w:val="32"/>
          <w:szCs w:val="32"/>
        </w:rPr>
        <w:t>企业主要负责人依法履行安全生产第一责任人的法定职责，严格落实每年继续安全生产教育培训制度，鼓励一般行业领域企业主要负责人持证上岗，带头执行安全生产法律法规、规章制度和标准规范，自觉建立健全并落实本单位全员责任制，切实将标准化纳入生产经营全过程，及时完善并实施本单位安全生产规章制度、安全操作规程、双重预防机制和生产安全事故应急救援预案，加强全员、全过程、全方位安全生产管理，做到安全责任、安全管理、安全投入、安全培训、应急救援“五到位”。</w:t>
      </w:r>
    </w:p>
    <w:p w14:paraId="0132D39E">
      <w:pPr>
        <w:adjustRightInd w:val="0"/>
        <w:snapToGrid w:val="0"/>
        <w:spacing w:line="560" w:lineRule="exact"/>
        <w:ind w:firstLine="643" w:firstLineChars="200"/>
        <w:rPr>
          <w:rFonts w:eastAsia="仿宋_GB2312"/>
          <w:b/>
          <w:bCs/>
          <w:sz w:val="32"/>
          <w:szCs w:val="32"/>
        </w:rPr>
      </w:pPr>
      <w:r>
        <w:rPr>
          <w:rFonts w:eastAsia="仿宋_GB2312"/>
          <w:b/>
          <w:sz w:val="32"/>
          <w:szCs w:val="32"/>
        </w:rPr>
        <w:t>2</w:t>
      </w:r>
      <w:r>
        <w:rPr>
          <w:rFonts w:hint="eastAsia" w:eastAsia="仿宋_GB2312"/>
          <w:b/>
          <w:sz w:val="32"/>
          <w:szCs w:val="32"/>
        </w:rPr>
        <w:t>.</w:t>
      </w:r>
      <w:r>
        <w:rPr>
          <w:rFonts w:eastAsia="仿宋_GB2312"/>
          <w:b/>
          <w:sz w:val="32"/>
          <w:szCs w:val="32"/>
        </w:rPr>
        <w:t>强化安全生产管理员队伍建设。</w:t>
      </w:r>
      <w:r>
        <w:rPr>
          <w:rFonts w:eastAsia="仿宋_GB2312"/>
          <w:sz w:val="32"/>
          <w:szCs w:val="32"/>
        </w:rPr>
        <w:t>各业务科室要督促指导</w:t>
      </w:r>
      <w:r>
        <w:rPr>
          <w:rFonts w:eastAsia="仿宋_GB2312"/>
          <w:kern w:val="0"/>
          <w:sz w:val="32"/>
          <w:szCs w:val="32"/>
        </w:rPr>
        <w:t>各自主管行业领域</w:t>
      </w:r>
      <w:r>
        <w:rPr>
          <w:rFonts w:eastAsia="仿宋_GB2312"/>
          <w:sz w:val="32"/>
          <w:szCs w:val="32"/>
        </w:rPr>
        <w:t>企业立足各自生产经营实际，依法依规建立健全安全生产议事决策机构、日常管理机构，配齐配强专（兼）职安全生产管理人员，明确安全生产技术负责人，建立健全从安全生产管理机构到生产现场班组的安全生产管理网络，突出以落实全员责任制、标准化提升为重点，加强安全生产管理员安全生产教育培训，切实提高其依法履职能力，逐步形成安全生产技术核心团队，确保日常安全生产工作时时有人会管理、事事有人懂落实。</w:t>
      </w:r>
    </w:p>
    <w:p w14:paraId="50430C01">
      <w:pPr>
        <w:adjustRightInd w:val="0"/>
        <w:snapToGrid w:val="0"/>
        <w:spacing w:line="560" w:lineRule="exact"/>
        <w:ind w:firstLine="640" w:firstLineChars="200"/>
        <w:rPr>
          <w:rFonts w:eastAsia="仿宋_GB2312"/>
          <w:sz w:val="32"/>
          <w:szCs w:val="32"/>
        </w:rPr>
      </w:pPr>
      <w:r>
        <w:rPr>
          <w:rFonts w:eastAsia="楷体_GB2312"/>
          <w:sz w:val="32"/>
          <w:szCs w:val="32"/>
        </w:rPr>
        <w:t>（三）健全“三个责任体系”。</w:t>
      </w:r>
      <w:r>
        <w:rPr>
          <w:rFonts w:eastAsia="仿宋_GB2312"/>
          <w:sz w:val="32"/>
          <w:szCs w:val="32"/>
        </w:rPr>
        <w:t>各业务科室要坚持党政、部门、企业“三位一体”，聚力构建“</w:t>
      </w:r>
      <w:r>
        <w:rPr>
          <w:rFonts w:eastAsia="仿宋_GB2312"/>
          <w:kern w:val="0"/>
          <w:sz w:val="32"/>
          <w:szCs w:val="32"/>
        </w:rPr>
        <w:t>党政领导有力、部门监管有效、企业落实有方</w:t>
      </w:r>
      <w:r>
        <w:rPr>
          <w:rFonts w:eastAsia="仿宋_GB2312"/>
          <w:sz w:val="32"/>
          <w:szCs w:val="32"/>
        </w:rPr>
        <w:t>”的持续推进标准化提升责任机制，有效形成齐抓共管的工作格局。</w:t>
      </w:r>
    </w:p>
    <w:p w14:paraId="7494151D">
      <w:pPr>
        <w:pStyle w:val="13"/>
        <w:spacing w:before="0" w:beforeAutospacing="0" w:after="0" w:afterAutospacing="0"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健全监管部门“一岗双责”体系。</w:t>
      </w:r>
      <w:r>
        <w:rPr>
          <w:rFonts w:ascii="Times New Roman" w:hAnsi="Times New Roman" w:eastAsia="仿宋_GB2312" w:cs="Times New Roman"/>
          <w:sz w:val="32"/>
          <w:szCs w:val="32"/>
        </w:rPr>
        <w:t>各业务科室要遵循“管行业必须管安全、管业务必须管安全、管生产经营必须管安全”和“一岗双责”的原则，按照市委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政府的要求，结合各自“三定”职责，认真梳理主管行业领域企业落实全员责任制、标准化提升专项行动开展情况，分级分类建立企业名录库，编制年度工作任务清单，明确完成时限、职责分工，完善监督检查、会商分析、现场调度、绩效管理、责任追究等相关制度，切实形成“主要领导负总责、分管领导直接抓、业务科室具体落实”的部门监管推进责任体系。</w:t>
      </w:r>
    </w:p>
    <w:p w14:paraId="3A80C0DE">
      <w:pPr>
        <w:adjustRightInd w:val="0"/>
        <w:snapToGrid w:val="0"/>
        <w:spacing w:line="560" w:lineRule="exact"/>
        <w:ind w:firstLine="643" w:firstLineChars="200"/>
        <w:rPr>
          <w:rFonts w:eastAsia="仿宋_GB2312"/>
          <w:sz w:val="32"/>
          <w:szCs w:val="32"/>
        </w:rPr>
      </w:pPr>
      <w:r>
        <w:rPr>
          <w:rFonts w:eastAsia="仿宋_GB2312"/>
          <w:b/>
          <w:bCs/>
          <w:sz w:val="32"/>
          <w:szCs w:val="32"/>
        </w:rPr>
        <w:t>2</w:t>
      </w:r>
      <w:r>
        <w:rPr>
          <w:rFonts w:hint="eastAsia" w:eastAsia="仿宋_GB2312"/>
          <w:b/>
          <w:bCs/>
          <w:sz w:val="32"/>
          <w:szCs w:val="32"/>
        </w:rPr>
        <w:t>.</w:t>
      </w:r>
      <w:r>
        <w:rPr>
          <w:rFonts w:eastAsia="仿宋_GB2312"/>
          <w:b/>
          <w:bCs/>
          <w:sz w:val="32"/>
          <w:szCs w:val="32"/>
        </w:rPr>
        <w:t>健全企业全员“知责履责”体系。</w:t>
      </w:r>
      <w:r>
        <w:rPr>
          <w:rFonts w:eastAsia="仿宋_GB2312"/>
          <w:sz w:val="32"/>
          <w:szCs w:val="32"/>
        </w:rPr>
        <w:t>各业务科室要坚持以“</w:t>
      </w:r>
      <w:r>
        <w:rPr>
          <w:rFonts w:eastAsia="仿宋_GB2312"/>
          <w:sz w:val="32"/>
          <w:szCs w:val="32"/>
          <w:shd w:val="clear" w:color="auto" w:fill="FFFFFF"/>
        </w:rPr>
        <w:t>简明扼要、通俗易懂、实用管用</w:t>
      </w:r>
      <w:r>
        <w:rPr>
          <w:rFonts w:eastAsia="仿宋_GB2312"/>
          <w:sz w:val="32"/>
          <w:szCs w:val="32"/>
        </w:rPr>
        <w:t>”为导向</w:t>
      </w:r>
      <w:r>
        <w:rPr>
          <w:rFonts w:eastAsia="仿宋_GB2312"/>
          <w:sz w:val="32"/>
          <w:szCs w:val="32"/>
          <w:shd w:val="clear" w:color="auto" w:fill="FFFFFF"/>
        </w:rPr>
        <w:t>，</w:t>
      </w:r>
      <w:r>
        <w:rPr>
          <w:rFonts w:eastAsia="仿宋_GB2312"/>
          <w:kern w:val="0"/>
          <w:sz w:val="32"/>
          <w:szCs w:val="32"/>
        </w:rPr>
        <w:t>督促指导企业</w:t>
      </w:r>
      <w:r>
        <w:rPr>
          <w:rFonts w:eastAsia="仿宋_GB2312"/>
          <w:sz w:val="32"/>
          <w:szCs w:val="32"/>
          <w:shd w:val="clear" w:color="auto" w:fill="FFFFFF"/>
        </w:rPr>
        <w:t>按照 “一岗一清单”的要求，明确各层级以及生产、技术、设备等各职能部门所管辖区域或业务的安全生产工作职责，明确各层级各职能部门负责人为本层级或本部门的安全生产第一责任人，结合各个岗位</w:t>
      </w:r>
      <w:r>
        <w:rPr>
          <w:rFonts w:eastAsia="仿宋_GB2312"/>
          <w:kern w:val="0"/>
          <w:sz w:val="32"/>
          <w:szCs w:val="32"/>
        </w:rPr>
        <w:t>的性质</w:t>
      </w:r>
      <w:r>
        <w:rPr>
          <w:rFonts w:eastAsia="仿宋_GB2312"/>
          <w:sz w:val="32"/>
          <w:szCs w:val="32"/>
        </w:rPr>
        <w:t>、特点和具体工作内容等实际情况，细化完善覆盖所有岗位、所有从业人员的安全生产责任清单，逐一明确从主要负责人到一线从业人员（含劳务派遣人员、实习学生等）的安全生产目标职责、责任内容和范围、考核标准等，建立相应的考核奖惩、安全承诺制度，切实形成“层层负责、人人有责、各负其责”的企业安全生产主体责任体系。</w:t>
      </w:r>
    </w:p>
    <w:p w14:paraId="4FDA0CCB">
      <w:pPr>
        <w:adjustRightInd w:val="0"/>
        <w:snapToGrid w:val="0"/>
        <w:spacing w:line="560" w:lineRule="exact"/>
        <w:ind w:firstLine="640" w:firstLineChars="200"/>
        <w:rPr>
          <w:rFonts w:eastAsia="仿宋_GB2312"/>
          <w:kern w:val="0"/>
          <w:sz w:val="32"/>
          <w:szCs w:val="32"/>
        </w:rPr>
      </w:pPr>
      <w:r>
        <w:rPr>
          <w:rFonts w:eastAsia="楷体_GB2312"/>
          <w:sz w:val="32"/>
          <w:szCs w:val="32"/>
        </w:rPr>
        <w:t>（四）提升“四项引领工程”。</w:t>
      </w:r>
      <w:r>
        <w:rPr>
          <w:rFonts w:eastAsia="仿宋_GB2312"/>
          <w:sz w:val="32"/>
          <w:szCs w:val="32"/>
        </w:rPr>
        <w:t>各业务科室</w:t>
      </w:r>
      <w:r>
        <w:rPr>
          <w:rFonts w:eastAsia="仿宋_GB2312"/>
          <w:kern w:val="0"/>
          <w:sz w:val="32"/>
          <w:szCs w:val="32"/>
        </w:rPr>
        <w:t>要持续完善“行业有特色、企业树标杆、岗位创达标”的工作架构，加大典型培育力度，打造一批落实全员责任制拓展标准化提升样板标杆企业、达标企业和达标岗位优秀案例（附件1），促进各级各行业领域各类典型提档升级，切实提升其引领水平。</w:t>
      </w:r>
    </w:p>
    <w:p w14:paraId="47D5B0C6">
      <w:pPr>
        <w:adjustRightInd w:val="0"/>
        <w:snapToGrid w:val="0"/>
        <w:spacing w:line="560" w:lineRule="exact"/>
        <w:ind w:firstLine="641"/>
        <w:rPr>
          <w:rFonts w:eastAsia="仿宋_GB2312"/>
          <w:kern w:val="0"/>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提档“百优企业”。</w:t>
      </w:r>
      <w:r>
        <w:rPr>
          <w:rFonts w:eastAsia="仿宋_GB2312"/>
          <w:sz w:val="32"/>
          <w:szCs w:val="32"/>
        </w:rPr>
        <w:t>各业务科室</w:t>
      </w:r>
      <w:r>
        <w:rPr>
          <w:rFonts w:eastAsia="仿宋_GB2312"/>
          <w:kern w:val="0"/>
          <w:sz w:val="32"/>
          <w:szCs w:val="32"/>
        </w:rPr>
        <w:t>要系统总结本辖区、本行业领域标杆企业标准化提升的典型经验做法，坚持全行业“三类企业”全覆盖，新增遴选一批“全员责任制落实好、标准化提升运行有序、安全管理规范、员工素质较高”的企业作为标杆企业培植对象，围绕落实全员责任制拓展标准化提升“五好”企业（主要负责人带头表率好、安全生产管理员督促推动好、生产现场管理好、一线员工执行好、全员参与创建氛围好）的目标定位，督促指导原有的标杆企业、新增培植对象，进一步对照《企业安全生产标准化基本规范》（GB/T 33000-2016），在全面对标及落实安全风险分级管控和隐患排查双重预防机制的基础上，深入查找制约本企业标准化提升的主要因素和薄弱环节，制定相应的“一企一策”解决方案，运用“33456”工作法提升各自标准化创建、运行水平，促进全市标杆企业提档升级，2025年底前文体旅行业新增不少于2家的标杆企业提升案例。</w:t>
      </w:r>
    </w:p>
    <w:p w14:paraId="28885CF0">
      <w:pPr>
        <w:adjustRightInd w:val="0"/>
        <w:snapToGrid w:val="0"/>
        <w:spacing w:line="560" w:lineRule="exact"/>
        <w:ind w:firstLine="640"/>
        <w:rPr>
          <w:rFonts w:eastAsia="仿宋_GB2312"/>
          <w:kern w:val="0"/>
          <w:sz w:val="32"/>
          <w:szCs w:val="32"/>
        </w:rPr>
      </w:pPr>
      <w:r>
        <w:rPr>
          <w:rFonts w:eastAsia="仿宋_GB2312"/>
          <w:b/>
          <w:sz w:val="32"/>
          <w:szCs w:val="32"/>
        </w:rPr>
        <w:t>2</w:t>
      </w:r>
      <w:r>
        <w:rPr>
          <w:rFonts w:hint="eastAsia" w:eastAsia="仿宋_GB2312"/>
          <w:b/>
          <w:sz w:val="32"/>
          <w:szCs w:val="32"/>
        </w:rPr>
        <w:t>.</w:t>
      </w:r>
      <w:r>
        <w:rPr>
          <w:rFonts w:eastAsia="仿宋_GB2312"/>
          <w:b/>
          <w:sz w:val="32"/>
          <w:szCs w:val="32"/>
        </w:rPr>
        <w:t>提质“千企评审”。</w:t>
      </w:r>
      <w:r>
        <w:rPr>
          <w:rFonts w:eastAsia="仿宋_GB2312"/>
          <w:sz w:val="32"/>
          <w:szCs w:val="32"/>
        </w:rPr>
        <w:t>各业务科室</w:t>
      </w:r>
      <w:r>
        <w:rPr>
          <w:rFonts w:eastAsia="仿宋_GB2312"/>
          <w:kern w:val="0"/>
          <w:sz w:val="32"/>
          <w:szCs w:val="32"/>
        </w:rPr>
        <w:t>要坚持评审质量优先原则，按照“五个一批”（提升一批、规范一批、申报一批、辅导一批、储备一批）的要求，突出以地标企业、龙头企业、国有企业（包括但不限于央企、省企）、规模（限额）以上企业等为重点，列出标准化定级（达标）企业计划名单，在督促企业自主创建、自觉运行标准化的基础上，广泛发动各行业领域各类企业积极申报标准化定级（达标）评审，推动一批一、二、三级达标企业提档升级，新增定级一批标准化三级企业，评审一批达标（不定级）小微企业，稳步扩大达标定级数量。2025年底前文体旅行业新增不少于2家的评审定级（达标）企业。</w:t>
      </w:r>
    </w:p>
    <w:p w14:paraId="32604D53">
      <w:pPr>
        <w:adjustRightInd w:val="0"/>
        <w:snapToGrid w:val="0"/>
        <w:spacing w:line="560" w:lineRule="exact"/>
        <w:ind w:firstLine="641"/>
        <w:rPr>
          <w:rFonts w:eastAsia="仿宋_GB2312"/>
          <w:kern w:val="0"/>
          <w:sz w:val="32"/>
          <w:szCs w:val="32"/>
        </w:rPr>
      </w:pPr>
      <w:r>
        <w:rPr>
          <w:rFonts w:eastAsia="仿宋_GB2312"/>
          <w:b/>
          <w:sz w:val="32"/>
          <w:szCs w:val="32"/>
        </w:rPr>
        <w:t>3</w:t>
      </w:r>
      <w:r>
        <w:rPr>
          <w:rFonts w:hint="eastAsia" w:eastAsia="仿宋_GB2312"/>
          <w:b/>
          <w:sz w:val="32"/>
          <w:szCs w:val="32"/>
        </w:rPr>
        <w:t>.</w:t>
      </w:r>
      <w:r>
        <w:rPr>
          <w:rFonts w:eastAsia="仿宋_GB2312"/>
          <w:b/>
          <w:sz w:val="32"/>
          <w:szCs w:val="32"/>
        </w:rPr>
        <w:t>提效“万岗达标”。</w:t>
      </w:r>
      <w:r>
        <w:rPr>
          <w:rFonts w:eastAsia="仿宋_GB2312"/>
          <w:sz w:val="32"/>
          <w:szCs w:val="32"/>
        </w:rPr>
        <w:t>各业务科室</w:t>
      </w:r>
      <w:r>
        <w:rPr>
          <w:rFonts w:eastAsia="仿宋_GB2312"/>
          <w:kern w:val="0"/>
          <w:sz w:val="32"/>
          <w:szCs w:val="32"/>
        </w:rPr>
        <w:t>要督促、指导各自主管企业突出以“三不伤害”（不伤害自己、不伤害别人、不被别人伤害）为基准、落实全员责任制为主线，结合各岗位的性质和特点，依据国家有关法律法规、标准规范制定各个岗位的安全生产标准，建立岗位达标评定工作制度，对照岗位标准确定量化的评定指标，明确评定工作的方式、程序、评定结果处理等内容，依托党（团）组织、工会、妇代会等基层组织，以创建标准化党员模范岗、工人先锋岗、青年突击手、巾帼标兵岗等为载体，深入开展标准化岗位大练兵、班组大比武、师傅带徒弟等活动，推动企业员工安全意识持续增强、操作技能持续提高，实现以岗位达标促双重预防机制的落实、以岗位达标促本质安全的提升，营造“全员参与岗位达标，人人实现岗位安全”的良好氛围，提升全员安全素质，推动岗位达标工作持续、有效地开展。2025年底前文体旅行业新增基层操作标准化达标岗位2个以上。</w:t>
      </w:r>
    </w:p>
    <w:p w14:paraId="09707D2E">
      <w:pPr>
        <w:adjustRightInd w:val="0"/>
        <w:snapToGrid w:val="0"/>
        <w:spacing w:line="560" w:lineRule="exact"/>
        <w:ind w:firstLine="640" w:firstLineChars="200"/>
        <w:rPr>
          <w:rFonts w:eastAsia="仿宋_GB2312"/>
          <w:sz w:val="32"/>
          <w:szCs w:val="32"/>
        </w:rPr>
      </w:pPr>
      <w:r>
        <w:rPr>
          <w:rFonts w:eastAsia="楷体_GB2312"/>
          <w:sz w:val="32"/>
          <w:szCs w:val="32"/>
        </w:rPr>
        <w:t>（五）优化“1+5推进机制”。</w:t>
      </w:r>
      <w:r>
        <w:rPr>
          <w:rFonts w:eastAsia="仿宋_GB2312"/>
          <w:sz w:val="32"/>
          <w:szCs w:val="32"/>
        </w:rPr>
        <w:t>市文体旅局要突出以</w:t>
      </w:r>
      <w:r>
        <w:rPr>
          <w:rFonts w:eastAsia="仿宋_GB2312"/>
          <w:kern w:val="0"/>
          <w:sz w:val="32"/>
          <w:szCs w:val="32"/>
        </w:rPr>
        <w:t>“1+5”</w:t>
      </w:r>
      <w:r>
        <w:rPr>
          <w:rFonts w:eastAsia="仿宋_GB2312"/>
          <w:sz w:val="32"/>
          <w:szCs w:val="32"/>
        </w:rPr>
        <w:t>为主体，建立常态化的落实企业全员责任制、标准化提升推进工作机制，促进标本兼治、综合施策，推动各类企业的安全基础管理水平持续提升。</w:t>
      </w:r>
    </w:p>
    <w:p w14:paraId="3E70595C">
      <w:pPr>
        <w:adjustRightInd w:val="0"/>
        <w:snapToGrid w:val="0"/>
        <w:spacing w:line="560" w:lineRule="exact"/>
        <w:ind w:firstLine="643" w:firstLineChars="200"/>
        <w:rPr>
          <w:rFonts w:eastAsia="仿宋_GB2312"/>
          <w:kern w:val="0"/>
          <w:sz w:val="32"/>
          <w:szCs w:val="32"/>
        </w:rPr>
      </w:pPr>
      <w:r>
        <w:rPr>
          <w:rFonts w:eastAsia="仿宋_GB2312"/>
          <w:b/>
          <w:bCs/>
          <w:sz w:val="32"/>
          <w:szCs w:val="32"/>
        </w:rPr>
        <w:t>1</w:t>
      </w:r>
      <w:r>
        <w:rPr>
          <w:rFonts w:hint="eastAsia" w:eastAsia="仿宋_GB2312"/>
          <w:b/>
          <w:bCs/>
          <w:sz w:val="32"/>
          <w:szCs w:val="32"/>
        </w:rPr>
        <w:t>.</w:t>
      </w:r>
      <w:r>
        <w:rPr>
          <w:rFonts w:eastAsia="仿宋_GB2312"/>
          <w:b/>
          <w:bCs/>
          <w:sz w:val="32"/>
          <w:szCs w:val="32"/>
        </w:rPr>
        <w:t>加强双重预防机制建设。</w:t>
      </w:r>
      <w:r>
        <w:rPr>
          <w:rFonts w:eastAsia="仿宋_GB2312"/>
          <w:sz w:val="32"/>
          <w:szCs w:val="32"/>
        </w:rPr>
        <w:t>各业务科室要</w:t>
      </w:r>
      <w:r>
        <w:rPr>
          <w:rFonts w:eastAsia="仿宋_GB2312"/>
          <w:sz w:val="32"/>
          <w:szCs w:val="32"/>
          <w:shd w:val="clear" w:color="auto" w:fill="FFFFFF"/>
        </w:rPr>
        <w:t>按照“一企一标准”的要求，</w:t>
      </w:r>
      <w:r>
        <w:rPr>
          <w:rFonts w:eastAsia="仿宋_GB2312"/>
          <w:kern w:val="0"/>
          <w:sz w:val="32"/>
          <w:szCs w:val="32"/>
        </w:rPr>
        <w:t>督促指导各企业紧盯“两重大”（重大风险、重大隐患），</w:t>
      </w:r>
      <w:r>
        <w:rPr>
          <w:rFonts w:eastAsia="仿宋_GB2312"/>
          <w:sz w:val="32"/>
          <w:szCs w:val="32"/>
          <w:shd w:val="clear" w:color="auto" w:fill="FFFFFF"/>
        </w:rPr>
        <w:t>结合实际优化本单位安全风险辨识和评估标准，</w:t>
      </w:r>
      <w:r>
        <w:rPr>
          <w:rFonts w:eastAsia="仿宋_GB2312"/>
          <w:kern w:val="0"/>
          <w:sz w:val="32"/>
          <w:szCs w:val="32"/>
        </w:rPr>
        <w:t>深化风险点排查，更新“红、橙、黄、蓝”四色安全风险空间分布图、安全风险管控手册和安全风险评估报告，</w:t>
      </w:r>
      <w:r>
        <w:rPr>
          <w:rFonts w:eastAsia="仿宋_GB2312"/>
          <w:sz w:val="32"/>
          <w:szCs w:val="32"/>
          <w:shd w:val="clear" w:color="auto" w:fill="FFFFFF"/>
        </w:rPr>
        <w:t>采取“一岗一清单”的管控模式，</w:t>
      </w:r>
      <w:r>
        <w:rPr>
          <w:rFonts w:eastAsia="仿宋_GB2312"/>
          <w:kern w:val="0"/>
          <w:sz w:val="32"/>
          <w:szCs w:val="32"/>
        </w:rPr>
        <w:t>实行公司、部门、岗位“三级”安全风险警示公告，严格落实安全风险分级管控责任制</w:t>
      </w:r>
      <w:r>
        <w:rPr>
          <w:rFonts w:eastAsia="仿宋_GB2312"/>
          <w:sz w:val="32"/>
          <w:szCs w:val="32"/>
          <w:shd w:val="clear" w:color="auto" w:fill="FFFFFF"/>
        </w:rPr>
        <w:t>，</w:t>
      </w:r>
      <w:r>
        <w:rPr>
          <w:rFonts w:eastAsia="仿宋_GB2312"/>
          <w:kern w:val="0"/>
          <w:sz w:val="32"/>
          <w:szCs w:val="32"/>
        </w:rPr>
        <w:t>健全各个风险点的“三张清单”闭环管理隐患排查治理机制，巩固提升企业安全生产双重预防机制。同时，要按照“四色”安全风险等级划分标准，对各自主管企业整体安全风险进行评估，确定其整体管控要素，优化“四色”安全风险分级分类监管机制。</w:t>
      </w:r>
    </w:p>
    <w:p w14:paraId="394B38AB">
      <w:pPr>
        <w:adjustRightInd w:val="0"/>
        <w:snapToGrid w:val="0"/>
        <w:spacing w:line="560" w:lineRule="exact"/>
        <w:ind w:firstLine="643" w:firstLineChars="200"/>
        <w:rPr>
          <w:rFonts w:eastAsia="仿宋_GB2312"/>
          <w:sz w:val="32"/>
          <w:szCs w:val="32"/>
        </w:rPr>
      </w:pPr>
      <w:r>
        <w:rPr>
          <w:rFonts w:eastAsia="仿宋_GB2312"/>
          <w:b/>
          <w:bCs/>
          <w:sz w:val="32"/>
          <w:szCs w:val="32"/>
        </w:rPr>
        <w:t>2</w:t>
      </w:r>
      <w:r>
        <w:rPr>
          <w:rFonts w:hint="eastAsia" w:eastAsia="仿宋_GB2312"/>
          <w:b/>
          <w:bCs/>
          <w:sz w:val="32"/>
          <w:szCs w:val="32"/>
        </w:rPr>
        <w:t>.</w:t>
      </w:r>
      <w:r>
        <w:rPr>
          <w:rFonts w:eastAsia="仿宋_GB2312"/>
          <w:b/>
          <w:bCs/>
          <w:sz w:val="32"/>
          <w:szCs w:val="32"/>
        </w:rPr>
        <w:t>加强“两化”融合机制建设。</w:t>
      </w:r>
      <w:r>
        <w:rPr>
          <w:rFonts w:eastAsia="仿宋_GB2312"/>
          <w:sz w:val="32"/>
          <w:szCs w:val="32"/>
        </w:rPr>
        <w:t>各业务科室要紧抓“两化”（标准化、信息化）融合主线，督促指导</w:t>
      </w:r>
      <w:r>
        <w:rPr>
          <w:rFonts w:eastAsia="仿宋_GB2312"/>
          <w:kern w:val="0"/>
          <w:sz w:val="32"/>
          <w:szCs w:val="32"/>
        </w:rPr>
        <w:t>企业充分运用“泉州市安全生产标准化智慧管理平台”加强安全生产管理工作，及时采集各自生产经营基本信息和全员责任制、制度化管理、教育培训、设备设施、现场管理、安全风险管控（含风险点类别、等级、管控措施）及隐患排查治理、应急管理、事故管理、持续改进等标准化提升相关信息，健全“一企一档”数据库，推进落实全员责任制、标准化提升全过程信息化管理，实现企业安全生产全过程实名追溯，完善平台的远程监测、自动化控制、自动预警等功能，增强企业安全风险在线辅助辨识评估、隐患排查治理在线预警能力，持续加强对各类安全指标监测预警、安全风险动态管控和隐患整改的跟踪闭环，促进企业安全生产信息化管理持续优化。</w:t>
      </w:r>
    </w:p>
    <w:p w14:paraId="46F253D7">
      <w:pPr>
        <w:adjustRightInd w:val="0"/>
        <w:snapToGrid w:val="0"/>
        <w:spacing w:line="560" w:lineRule="exact"/>
        <w:ind w:firstLine="643" w:firstLineChars="200"/>
        <w:rPr>
          <w:rFonts w:eastAsia="仿宋_GB2312"/>
          <w:kern w:val="0"/>
          <w:sz w:val="32"/>
          <w:szCs w:val="32"/>
        </w:rPr>
      </w:pPr>
      <w:r>
        <w:rPr>
          <w:rFonts w:eastAsia="仿宋_GB2312"/>
          <w:b/>
          <w:bCs/>
          <w:sz w:val="32"/>
          <w:szCs w:val="32"/>
        </w:rPr>
        <w:t>3</w:t>
      </w:r>
      <w:r>
        <w:rPr>
          <w:rFonts w:hint="eastAsia" w:eastAsia="仿宋_GB2312"/>
          <w:b/>
          <w:bCs/>
          <w:sz w:val="32"/>
          <w:szCs w:val="32"/>
        </w:rPr>
        <w:t>.</w:t>
      </w:r>
      <w:r>
        <w:rPr>
          <w:rFonts w:eastAsia="仿宋_GB2312"/>
          <w:b/>
          <w:bCs/>
          <w:sz w:val="32"/>
          <w:szCs w:val="32"/>
        </w:rPr>
        <w:t>加强技术服务机制建设。</w:t>
      </w:r>
      <w:r>
        <w:rPr>
          <w:rFonts w:eastAsia="仿宋_GB2312"/>
          <w:sz w:val="32"/>
          <w:szCs w:val="32"/>
        </w:rPr>
        <w:t>各业务科室</w:t>
      </w:r>
      <w:r>
        <w:rPr>
          <w:rFonts w:eastAsia="仿宋_GB2312"/>
          <w:kern w:val="0"/>
          <w:sz w:val="32"/>
          <w:szCs w:val="32"/>
        </w:rPr>
        <w:t>要积极探索社会化、市场化的落实企业全员责任制拓展标准化提升的技术指导服务机制，建立健全专家咨询机制，培育扶持一批专业技术服务机构，加强专业技术服务队伍建设，通过政府购买服务、企地合作、重大课题研究等形式，聘请高层次、高水平专家和专业技术服务机构，吸收基层监管部门、企业单位实践经验丰富的人员，参与 “四项规范”修编、评估、论证、审查，加强技术指导，规范、引导和推动企业全员责任制落实、标准化运行提升，不断增强相关工作的科学性、实效性。同时，要加强对标准化专业技术服务机构的日常监管，保证其从业行为的规范性、专业性、独立性和客观性，切实为广大企业落实全员责任制和标准化建设、提升、运行提供良好的技术支撑。</w:t>
      </w:r>
    </w:p>
    <w:p w14:paraId="00B088B9">
      <w:pPr>
        <w:adjustRightInd w:val="0"/>
        <w:snapToGrid w:val="0"/>
        <w:spacing w:line="560" w:lineRule="exact"/>
        <w:ind w:firstLine="643" w:firstLineChars="200"/>
        <w:rPr>
          <w:rFonts w:eastAsia="仿宋_GB2312"/>
          <w:color w:val="000000"/>
          <w:sz w:val="32"/>
          <w:szCs w:val="32"/>
        </w:rPr>
      </w:pPr>
      <w:r>
        <w:rPr>
          <w:rFonts w:eastAsia="仿宋_GB2312"/>
          <w:b/>
          <w:bCs/>
          <w:sz w:val="32"/>
          <w:szCs w:val="32"/>
        </w:rPr>
        <w:t>4</w:t>
      </w:r>
      <w:r>
        <w:rPr>
          <w:rFonts w:hint="eastAsia" w:eastAsia="仿宋_GB2312"/>
          <w:b/>
          <w:bCs/>
          <w:sz w:val="32"/>
          <w:szCs w:val="32"/>
        </w:rPr>
        <w:t>.</w:t>
      </w:r>
      <w:r>
        <w:rPr>
          <w:rFonts w:eastAsia="仿宋_GB2312"/>
          <w:b/>
          <w:bCs/>
          <w:sz w:val="32"/>
          <w:szCs w:val="32"/>
        </w:rPr>
        <w:t>加强约束激励机制建设。</w:t>
      </w:r>
      <w:r>
        <w:rPr>
          <w:rFonts w:eastAsia="仿宋_GB2312"/>
          <w:sz w:val="32"/>
          <w:szCs w:val="32"/>
        </w:rPr>
        <w:t>各业务科室</w:t>
      </w:r>
      <w:r>
        <w:rPr>
          <w:rFonts w:eastAsia="仿宋_GB2312"/>
          <w:color w:val="000000"/>
          <w:sz w:val="32"/>
          <w:szCs w:val="32"/>
        </w:rPr>
        <w:t>要深入运用企业标准化建设成果，实施企业安全生产星级管理、创新以奖代补机制，结合实际探索并以同级人民政府名义，出台操作性强的落实企业全员责任制拓展标准化提升奖惩措施，综合运用法律、经济和行政手段推动企业落实全员责任制提升标准化，切实从经济政策、社会荣誉、差异化监管等方面建立健全联合约束激励机制，大力推进实施安全生产责任保险制度，加强企业安全生产诚信制度建设和部门联合惩戒，对在推动企业全员责任制落实、标准化提升中承担大量工作的标杆企业和技术服务机构，从安全生产评先评优、科技项目、资金等方面优先给予支持和奖励，激发企业自主创建、自觉提升、自我运行标准化的内生动力。</w:t>
      </w:r>
    </w:p>
    <w:p w14:paraId="6BBBDB60">
      <w:pPr>
        <w:adjustRightInd w:val="0"/>
        <w:snapToGrid w:val="0"/>
        <w:spacing w:line="560" w:lineRule="exact"/>
        <w:ind w:firstLine="640" w:firstLineChars="200"/>
        <w:rPr>
          <w:rFonts w:eastAsia="黑体"/>
          <w:sz w:val="32"/>
          <w:szCs w:val="32"/>
        </w:rPr>
      </w:pPr>
      <w:r>
        <w:rPr>
          <w:rFonts w:eastAsia="黑体"/>
          <w:sz w:val="32"/>
          <w:szCs w:val="32"/>
        </w:rPr>
        <w:t>四、实施步骤</w:t>
      </w:r>
    </w:p>
    <w:p w14:paraId="28C14FE4">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全市落实企业全员责任制拓展标准化提升专项行动持续深化分五个阶段同步实施：</w:t>
      </w:r>
    </w:p>
    <w:p w14:paraId="16B01C1E">
      <w:pPr>
        <w:adjustRightInd w:val="0"/>
        <w:snapToGrid w:val="0"/>
        <w:spacing w:line="560" w:lineRule="exact"/>
        <w:ind w:firstLine="640" w:firstLineChars="200"/>
        <w:rPr>
          <w:rFonts w:eastAsia="仿宋_GB2312"/>
          <w:kern w:val="0"/>
          <w:sz w:val="32"/>
          <w:szCs w:val="32"/>
        </w:rPr>
      </w:pPr>
      <w:r>
        <w:rPr>
          <w:rFonts w:hint="eastAsia" w:eastAsia="楷体_GB2312"/>
          <w:sz w:val="32"/>
          <w:szCs w:val="32"/>
        </w:rPr>
        <w:t>（一）</w:t>
      </w:r>
      <w:r>
        <w:rPr>
          <w:rFonts w:eastAsia="楷体_GB2312"/>
          <w:sz w:val="32"/>
          <w:szCs w:val="32"/>
        </w:rPr>
        <w:t>动员部署阶段（2025年2月25日前）</w:t>
      </w:r>
      <w:r>
        <w:rPr>
          <w:rFonts w:eastAsia="仿宋_GB2312"/>
          <w:sz w:val="32"/>
          <w:szCs w:val="32"/>
        </w:rPr>
        <w:t>。各业务科室</w:t>
      </w:r>
      <w:r>
        <w:rPr>
          <w:rFonts w:eastAsia="仿宋_GB2312"/>
          <w:kern w:val="0"/>
          <w:sz w:val="32"/>
          <w:szCs w:val="32"/>
        </w:rPr>
        <w:t>要结合本行业领域安全生产工作实际，细化明确目标任务、进度安排和落实措施，并以新办企业、商贸企业、小微企业、“九小场所”等“四类市场主体”查缺补漏为重点，组织进一步摸清各类企业底数，逐家送达《关于持续</w:t>
      </w:r>
      <w:r>
        <w:rPr>
          <w:rFonts w:eastAsia="仿宋_GB2312"/>
          <w:sz w:val="32"/>
          <w:szCs w:val="32"/>
        </w:rPr>
        <w:t>深化</w:t>
      </w:r>
      <w:r>
        <w:rPr>
          <w:rFonts w:eastAsia="仿宋_GB2312"/>
          <w:kern w:val="0"/>
          <w:sz w:val="32"/>
          <w:szCs w:val="32"/>
        </w:rPr>
        <w:t>安全生产标准化建设告知书》（附件2）、签订《关于持续</w:t>
      </w:r>
      <w:r>
        <w:rPr>
          <w:rFonts w:eastAsia="仿宋_GB2312"/>
          <w:sz w:val="32"/>
          <w:szCs w:val="32"/>
        </w:rPr>
        <w:t>深化</w:t>
      </w:r>
      <w:r>
        <w:rPr>
          <w:rFonts w:eastAsia="仿宋_GB2312"/>
          <w:kern w:val="0"/>
          <w:sz w:val="32"/>
          <w:szCs w:val="32"/>
        </w:rPr>
        <w:t>安全生产标准化建设承诺书》（附件3），迅速将有关文件精神传达至所有企业，督促、指导各企业编制2025年落实全员责任制拓展标准化创建、运行、深化、提升计划，层层动员部署，广泛宣传发动，营造浓厚氛围。</w:t>
      </w:r>
    </w:p>
    <w:p w14:paraId="3D57006E">
      <w:pPr>
        <w:adjustRightInd w:val="0"/>
        <w:snapToGrid w:val="0"/>
        <w:spacing w:line="560" w:lineRule="exact"/>
        <w:ind w:firstLine="640" w:firstLineChars="200"/>
        <w:rPr>
          <w:rFonts w:eastAsia="仿宋_GB2312"/>
          <w:kern w:val="0"/>
          <w:sz w:val="32"/>
          <w:szCs w:val="32"/>
        </w:rPr>
      </w:pPr>
      <w:r>
        <w:rPr>
          <w:rFonts w:eastAsia="楷体_GB2312"/>
          <w:sz w:val="32"/>
          <w:szCs w:val="32"/>
        </w:rPr>
        <w:t>（二）自评自纠阶段（2025年3月底前）</w:t>
      </w:r>
      <w:r>
        <w:rPr>
          <w:rFonts w:eastAsia="仿宋_GB2312"/>
          <w:sz w:val="32"/>
          <w:szCs w:val="32"/>
        </w:rPr>
        <w:t>。各业务科室</w:t>
      </w:r>
      <w:r>
        <w:rPr>
          <w:rFonts w:eastAsia="仿宋_GB2312"/>
          <w:kern w:val="0"/>
          <w:sz w:val="32"/>
          <w:szCs w:val="32"/>
        </w:rPr>
        <w:t>要采取“回头看”的方式，全面评估2021年8月以来本辖区本单位开展落实全员责任制、标准化提升专项行动情况，查摆不足、问题和薄弱环节，建立健全持续</w:t>
      </w:r>
      <w:r>
        <w:rPr>
          <w:rFonts w:eastAsia="仿宋_GB2312"/>
          <w:sz w:val="32"/>
          <w:szCs w:val="32"/>
        </w:rPr>
        <w:t>改进</w:t>
      </w:r>
      <w:r>
        <w:rPr>
          <w:rFonts w:eastAsia="仿宋_GB2312"/>
          <w:kern w:val="0"/>
          <w:sz w:val="32"/>
          <w:szCs w:val="32"/>
        </w:rPr>
        <w:t>清单，逐一明确整改责任、措施、时限，逐项抓好整改，形成评估报告。同时，要组织各自主管行业领域所有企业，依法依规对照创建标准，全面开展一次标准化管理体系的运行情况自评，客观分析本单位标准化运行质量，查找不符合创建标准事项，对照各自适用标准，逐一查缺补漏，及时调整完善相关制度文件和过程管控，及时整改到位，形成正式自评报告文件，及时向本单位所有部门、岗位和从业人员通报自评结果，促进持续</w:t>
      </w:r>
      <w:r>
        <w:rPr>
          <w:rFonts w:eastAsia="仿宋_GB2312"/>
          <w:sz w:val="32"/>
          <w:szCs w:val="32"/>
        </w:rPr>
        <w:t>深化</w:t>
      </w:r>
      <w:r>
        <w:rPr>
          <w:rFonts w:eastAsia="仿宋_GB2312"/>
          <w:kern w:val="0"/>
          <w:sz w:val="32"/>
          <w:szCs w:val="32"/>
        </w:rPr>
        <w:t>提升。</w:t>
      </w:r>
    </w:p>
    <w:p w14:paraId="2CAC430C">
      <w:pPr>
        <w:adjustRightInd w:val="0"/>
        <w:snapToGrid w:val="0"/>
        <w:spacing w:line="560" w:lineRule="exact"/>
        <w:ind w:firstLine="640" w:firstLineChars="200"/>
        <w:rPr>
          <w:rFonts w:eastAsia="仿宋_GB2312"/>
          <w:kern w:val="0"/>
          <w:sz w:val="32"/>
          <w:szCs w:val="32"/>
        </w:rPr>
      </w:pPr>
      <w:r>
        <w:rPr>
          <w:rFonts w:eastAsia="楷体_GB2312"/>
          <w:sz w:val="32"/>
          <w:szCs w:val="32"/>
        </w:rPr>
        <w:t>（三）督导帮扶阶段（2025年9月底前）</w:t>
      </w:r>
      <w:r>
        <w:rPr>
          <w:rFonts w:eastAsia="仿宋_GB2312"/>
          <w:sz w:val="32"/>
          <w:szCs w:val="32"/>
        </w:rPr>
        <w:t>。文体旅局将</w:t>
      </w:r>
      <w:r>
        <w:rPr>
          <w:rFonts w:eastAsia="仿宋_GB2312"/>
          <w:kern w:val="0"/>
          <w:sz w:val="32"/>
          <w:szCs w:val="32"/>
        </w:rPr>
        <w:t>依托各级安全生产专家组、专业技术机构，选聘高层次、高水平专家或业务骨干，抽调实践经验丰富的人员，成立专项督导帮扶队伍，采取小分队的形式，深入重点区域、重点企业开展督导帮扶，引导企业紧盯影响安全生产的重大隐患排查治理、重大危险源监控、安全生产系统改造、产业技术升级、应急能力提升、消防安全保障等重点要素，复制推广标杆企业成功经验做法，充分运用“33456”工作法，规范建立健全隐患排查治理“三张清单”、实施安全风险“四色”动态管控、强化生产经营现场“5S”管理、完善“六有”可视化警示标识，推进全行业所有企业落实全员责任制、标准化运行持续深化。</w:t>
      </w:r>
    </w:p>
    <w:p w14:paraId="373154CA">
      <w:pPr>
        <w:adjustRightInd w:val="0"/>
        <w:snapToGrid w:val="0"/>
        <w:spacing w:line="560" w:lineRule="exact"/>
        <w:ind w:firstLine="640" w:firstLineChars="200"/>
        <w:rPr>
          <w:rFonts w:eastAsia="仿宋_GB2312"/>
          <w:kern w:val="0"/>
          <w:sz w:val="32"/>
          <w:szCs w:val="32"/>
        </w:rPr>
      </w:pPr>
      <w:r>
        <w:rPr>
          <w:rFonts w:eastAsia="楷体_GB2312"/>
          <w:sz w:val="32"/>
          <w:szCs w:val="32"/>
        </w:rPr>
        <w:t>（四）执法推动阶段（2025年11月底前）</w:t>
      </w:r>
      <w:r>
        <w:rPr>
          <w:rFonts w:eastAsia="仿宋_GB2312"/>
          <w:sz w:val="32"/>
          <w:szCs w:val="32"/>
        </w:rPr>
        <w:t>。各业务科室</w:t>
      </w:r>
      <w:r>
        <w:rPr>
          <w:rFonts w:eastAsia="仿宋_GB2312"/>
          <w:kern w:val="0"/>
          <w:sz w:val="32"/>
          <w:szCs w:val="32"/>
        </w:rPr>
        <w:t>要根据各自主管行业领域企业落实全员责任制和标准化创建、运行、提升情况，聚焦生产安全重大事故隐患和重点检查事项，实施分级分类差异化监管，对完成标准化提升的企业，最大限度减少日常检查抽查频次；对未开展标准化创建或标准化运行质量无法满足自评达标要求的企业，实施重点监管，开展精准执法，强化专项执法、联合执法、交叉执法等多措并举，深入查处各类非法违法和违规违章行为，严查应排未排、应改未改的重大事故隐患，加大“一案双罚”执法力度，依法按规定上限处罚，及时曝光典型的执法案例，强化震慑作用，以执法高压态势倒逼企业主动落实全员责任制拓展标准化持续</w:t>
      </w:r>
      <w:r>
        <w:rPr>
          <w:rFonts w:eastAsia="仿宋_GB2312"/>
          <w:sz w:val="32"/>
          <w:szCs w:val="32"/>
        </w:rPr>
        <w:t>深化</w:t>
      </w:r>
      <w:r>
        <w:rPr>
          <w:rFonts w:eastAsia="仿宋_GB2312"/>
          <w:kern w:val="0"/>
          <w:sz w:val="32"/>
          <w:szCs w:val="32"/>
        </w:rPr>
        <w:t>。</w:t>
      </w:r>
    </w:p>
    <w:p w14:paraId="18D38184">
      <w:pPr>
        <w:adjustRightInd w:val="0"/>
        <w:snapToGrid w:val="0"/>
        <w:spacing w:line="560" w:lineRule="exact"/>
        <w:ind w:firstLine="640" w:firstLineChars="200"/>
        <w:rPr>
          <w:rFonts w:eastAsia="仿宋_GB2312"/>
          <w:bCs/>
          <w:sz w:val="32"/>
          <w:szCs w:val="32"/>
        </w:rPr>
      </w:pPr>
      <w:r>
        <w:rPr>
          <w:rFonts w:eastAsia="楷体_GB2312"/>
          <w:sz w:val="32"/>
          <w:szCs w:val="32"/>
        </w:rPr>
        <w:t>（五）总结完善阶段（2025年12月底前）</w:t>
      </w:r>
      <w:r>
        <w:rPr>
          <w:rFonts w:eastAsia="仿宋_GB2312"/>
          <w:sz w:val="32"/>
          <w:szCs w:val="32"/>
        </w:rPr>
        <w:t>。各业务科室要全面总结各自主管（监管）行业领域企业落实全员责任制拓展标准化持续深化工作情况，深入分析工作推进过程中存在的共性问题和突出的个性问题，采取针对性强的改进措施，逐项逐条补短板、强弱项，推动落实全员责任制拓展标准化提升与双重预防机制建设、监管执法检查、信息化管理等工作有机融合，立足可复制、可推广，系统归纳、提炼好的典型经验做法，及时固化形成行之有效、操作性强的长效机制，持续完善各级政府推动标准化工作常态化机制建设，切实激发企业加强安全生产自主管理、自我约束、持续改进的积极性和主动性。</w:t>
      </w:r>
    </w:p>
    <w:p w14:paraId="63B0A668">
      <w:pPr>
        <w:adjustRightInd w:val="0"/>
        <w:snapToGrid w:val="0"/>
        <w:spacing w:line="560" w:lineRule="exact"/>
        <w:ind w:firstLine="640" w:firstLineChars="200"/>
        <w:rPr>
          <w:rFonts w:eastAsia="黑体"/>
          <w:sz w:val="32"/>
          <w:szCs w:val="32"/>
        </w:rPr>
      </w:pPr>
      <w:r>
        <w:rPr>
          <w:rFonts w:eastAsia="黑体"/>
          <w:sz w:val="32"/>
          <w:szCs w:val="32"/>
        </w:rPr>
        <w:t>五、工作要求</w:t>
      </w:r>
    </w:p>
    <w:p w14:paraId="342F4E51">
      <w:pPr>
        <w:adjustRightInd w:val="0"/>
        <w:snapToGrid w:val="0"/>
        <w:spacing w:line="560" w:lineRule="exact"/>
        <w:ind w:firstLine="640" w:firstLineChars="200"/>
        <w:rPr>
          <w:rFonts w:eastAsia="仿宋_GB2312"/>
          <w:sz w:val="32"/>
          <w:szCs w:val="32"/>
        </w:rPr>
      </w:pPr>
      <w:r>
        <w:rPr>
          <w:rFonts w:eastAsia="仿宋_GB2312"/>
          <w:sz w:val="32"/>
          <w:szCs w:val="32"/>
        </w:rPr>
        <w:t>落实企业全员责任制拓展标准化持续深化是强化企业安全生产能力建设的一项重大举措，各科室和各企业要高度重视，积极参与，主动担当，采取强有力的措施，狠抓各项工作有序有效落实。</w:t>
      </w:r>
    </w:p>
    <w:p w14:paraId="1EE447D0">
      <w:pPr>
        <w:adjustRightInd w:val="0"/>
        <w:snapToGrid w:val="0"/>
        <w:spacing w:line="560" w:lineRule="exact"/>
        <w:ind w:firstLine="640" w:firstLineChars="200"/>
        <w:rPr>
          <w:rFonts w:eastAsia="仿宋_GB2312"/>
          <w:sz w:val="32"/>
          <w:szCs w:val="32"/>
        </w:rPr>
      </w:pPr>
      <w:r>
        <w:rPr>
          <w:rFonts w:eastAsia="楷体_GB2312"/>
          <w:sz w:val="32"/>
          <w:szCs w:val="32"/>
        </w:rPr>
        <w:t>（一）强化组织领导，层层落实责任</w:t>
      </w:r>
      <w:r>
        <w:rPr>
          <w:rFonts w:eastAsia="仿宋_GB2312"/>
          <w:sz w:val="32"/>
          <w:szCs w:val="32"/>
        </w:rPr>
        <w:t>。各单位各科室要充分认识落实企业全员责任制拓展标准化提升专项行动持续深化的重大现实意义，切实将专项行动作为2025年安全生产工作的一条主线，主要负责人亲自谋划、亲自推动、亲自抓好落实，定期、不定期组织专题研究，精心组织、周密部署，明确分管领导具体负责协调日常工作，调整充实工作力量，细化责任分工，强化工作合力，按时保质保量完成各阶段工作任务。</w:t>
      </w:r>
    </w:p>
    <w:p w14:paraId="704F6D6B">
      <w:pPr>
        <w:adjustRightInd w:val="0"/>
        <w:snapToGrid w:val="0"/>
        <w:spacing w:line="560" w:lineRule="exact"/>
        <w:ind w:firstLine="640" w:firstLineChars="200"/>
        <w:rPr>
          <w:rFonts w:eastAsia="仿宋_GB2312"/>
          <w:color w:val="000000"/>
          <w:sz w:val="32"/>
          <w:szCs w:val="32"/>
        </w:rPr>
      </w:pPr>
      <w:r>
        <w:rPr>
          <w:rFonts w:eastAsia="楷体_GB2312"/>
          <w:sz w:val="32"/>
          <w:szCs w:val="32"/>
        </w:rPr>
        <w:t>（二）强化专项培训，优化技术支撑。</w:t>
      </w:r>
      <w:r>
        <w:rPr>
          <w:rFonts w:eastAsia="仿宋_GB2312"/>
          <w:sz w:val="32"/>
          <w:szCs w:val="32"/>
        </w:rPr>
        <w:t>各单位各科室</w:t>
      </w:r>
      <w:r>
        <w:rPr>
          <w:rFonts w:eastAsia="仿宋_GB2312"/>
          <w:color w:val="000000"/>
          <w:sz w:val="32"/>
          <w:szCs w:val="32"/>
        </w:rPr>
        <w:t>要突出以“四项规范”（安全检查清单、标准化运行提升指南、中等企业和小微企业达标细则、网格员检查导则）、“五类人员”（各级领导干部、安监人员、基层网格员、技术支撑人员&lt;主要是专家、保险员&gt;、企业从业人员&lt;主要是企业主要负责人、安全管理员&gt;）为重点，深入开展专项业务培训，切实提高各个层级相关人员实务技能，优化专业技术队伍，形成多层级、多维度技术支撑。</w:t>
      </w:r>
    </w:p>
    <w:p w14:paraId="015FC4C7">
      <w:pPr>
        <w:adjustRightInd w:val="0"/>
        <w:snapToGrid w:val="0"/>
        <w:spacing w:line="560" w:lineRule="exact"/>
        <w:ind w:firstLine="640" w:firstLineChars="200"/>
        <w:rPr>
          <w:rFonts w:eastAsia="仿宋_GB2312"/>
          <w:color w:val="000000"/>
          <w:sz w:val="32"/>
          <w:szCs w:val="32"/>
        </w:rPr>
      </w:pPr>
      <w:r>
        <w:rPr>
          <w:rFonts w:eastAsia="楷体_GB2312"/>
          <w:sz w:val="32"/>
          <w:szCs w:val="32"/>
        </w:rPr>
        <w:t>（三）强化质量管控，规范达标评审。</w:t>
      </w:r>
      <w:r>
        <w:rPr>
          <w:rFonts w:eastAsia="仿宋_GB2312"/>
          <w:sz w:val="32"/>
          <w:szCs w:val="32"/>
        </w:rPr>
        <w:t>各单位各科室</w:t>
      </w:r>
      <w:r>
        <w:rPr>
          <w:rFonts w:eastAsia="仿宋_GB2312"/>
          <w:color w:val="000000"/>
          <w:sz w:val="32"/>
          <w:szCs w:val="32"/>
        </w:rPr>
        <w:t>要加强对各级定级（达标确认）组织单位、评审单位、现场评审人员的监督管理，依法依规加强监督执法检查，督促指导评审机构严格评审人员管理、评审过程管控和评审质量控制，严厉查处弄虚作假、评审走过场、评审机构替代企业创建、咨询和评审“捆绑”收费、牟取不当利益等违规违纪违法行为，切实规范标准化定级（达标确认）评审，保证评审质量。</w:t>
      </w:r>
    </w:p>
    <w:p w14:paraId="7EFF5EC0">
      <w:pPr>
        <w:adjustRightInd w:val="0"/>
        <w:snapToGrid w:val="0"/>
        <w:spacing w:line="560" w:lineRule="exact"/>
        <w:ind w:firstLine="640" w:firstLineChars="200"/>
        <w:rPr>
          <w:rFonts w:eastAsia="仿宋_GB2312"/>
          <w:sz w:val="32"/>
          <w:szCs w:val="32"/>
        </w:rPr>
      </w:pPr>
      <w:r>
        <w:rPr>
          <w:rFonts w:eastAsia="楷体_GB2312"/>
          <w:sz w:val="32"/>
          <w:szCs w:val="32"/>
        </w:rPr>
        <w:t>（四）强化督查督导，推进有序落实。</w:t>
      </w:r>
      <w:r>
        <w:rPr>
          <w:rFonts w:eastAsia="仿宋_GB2312"/>
          <w:sz w:val="32"/>
          <w:szCs w:val="32"/>
        </w:rPr>
        <w:t>各单位各科室要</w:t>
      </w:r>
      <w:r>
        <w:rPr>
          <w:rFonts w:eastAsia="仿宋_GB2312"/>
          <w:color w:val="000000"/>
          <w:sz w:val="32"/>
          <w:szCs w:val="32"/>
        </w:rPr>
        <w:t>突出以落实企业全员责任制拓展标准化持续</w:t>
      </w:r>
      <w:r>
        <w:rPr>
          <w:rFonts w:eastAsia="仿宋_GB2312"/>
          <w:sz w:val="32"/>
          <w:szCs w:val="32"/>
        </w:rPr>
        <w:t>深化</w:t>
      </w:r>
      <w:r>
        <w:rPr>
          <w:rFonts w:eastAsia="仿宋_GB2312"/>
          <w:color w:val="000000"/>
          <w:sz w:val="32"/>
          <w:szCs w:val="32"/>
        </w:rPr>
        <w:t>情况为重点，聚焦工作部署不到位、责任不清晰、推进措施不力、重大事故隐患排查治理缺漏等薄弱环节，</w:t>
      </w:r>
      <w:r>
        <w:rPr>
          <w:rFonts w:eastAsia="仿宋_GB2312"/>
          <w:sz w:val="32"/>
          <w:szCs w:val="32"/>
        </w:rPr>
        <w:t>实施“清单式”督导检查，及时</w:t>
      </w:r>
      <w:r>
        <w:rPr>
          <w:rFonts w:eastAsia="仿宋_GB2312"/>
          <w:color w:val="000000"/>
          <w:sz w:val="32"/>
          <w:szCs w:val="32"/>
        </w:rPr>
        <w:t>发掘并褒扬</w:t>
      </w:r>
      <w:r>
        <w:rPr>
          <w:rFonts w:eastAsia="仿宋_GB2312"/>
          <w:sz w:val="32"/>
          <w:szCs w:val="32"/>
        </w:rPr>
        <w:t>一批可复制、可推广的先进典型，发现并督促纠正</w:t>
      </w:r>
      <w:r>
        <w:rPr>
          <w:rFonts w:eastAsia="仿宋_GB2312"/>
          <w:color w:val="000000"/>
          <w:sz w:val="32"/>
          <w:szCs w:val="32"/>
        </w:rPr>
        <w:t>工作不落实、照搬照抄、敷衍了事等问题，推动各项工作有序落到实处。</w:t>
      </w:r>
    </w:p>
    <w:p w14:paraId="6DB70A98">
      <w:pPr>
        <w:adjustRightInd w:val="0"/>
        <w:snapToGrid w:val="0"/>
        <w:spacing w:line="560" w:lineRule="exact"/>
        <w:ind w:firstLine="640" w:firstLineChars="200"/>
        <w:rPr>
          <w:rFonts w:eastAsia="仿宋_GB2312"/>
          <w:sz w:val="32"/>
          <w:szCs w:val="32"/>
        </w:rPr>
      </w:pPr>
      <w:r>
        <w:rPr>
          <w:rFonts w:eastAsia="楷体_GB2312"/>
          <w:sz w:val="32"/>
          <w:szCs w:val="32"/>
        </w:rPr>
        <w:t>（五）强化常态调度，及时报送信息。</w:t>
      </w:r>
      <w:r>
        <w:rPr>
          <w:rFonts w:eastAsia="仿宋_GB2312"/>
          <w:sz w:val="32"/>
          <w:szCs w:val="32"/>
        </w:rPr>
        <w:t>各单位各科室要进一步健全优化会商、观摩、通报等工作机制，实施定期、不定期常态化调度，及时掌握进展情况，认真研究解决存在的突出问题，指定专人如实形成每季度工作总结、如实填报工作进展季报表。</w:t>
      </w:r>
    </w:p>
    <w:p w14:paraId="769B9F07">
      <w:pPr>
        <w:adjustRightInd w:val="0"/>
        <w:snapToGrid w:val="0"/>
        <w:spacing w:line="560" w:lineRule="exact"/>
        <w:ind w:firstLine="640" w:firstLineChars="200"/>
        <w:rPr>
          <w:rFonts w:eastAsia="仿宋_GB2312"/>
          <w:sz w:val="32"/>
          <w:szCs w:val="32"/>
        </w:rPr>
      </w:pPr>
    </w:p>
    <w:p w14:paraId="12E6E5B1">
      <w:pPr>
        <w:pStyle w:val="52"/>
        <w:snapToGrid w:val="0"/>
        <w:spacing w:line="560" w:lineRule="exact"/>
        <w:ind w:left="1918" w:leftChars="304" w:hanging="1280" w:hangingChars="400"/>
        <w:jc w:val="both"/>
        <w:rPr>
          <w:rFonts w:eastAsia="仿宋_GB2312"/>
          <w:color w:val="auto"/>
          <w:spacing w:val="-11"/>
          <w:kern w:val="2"/>
          <w:sz w:val="32"/>
          <w:szCs w:val="32"/>
        </w:rPr>
      </w:pPr>
      <w:r>
        <w:rPr>
          <w:rFonts w:eastAsia="仿宋_GB2312"/>
          <w:color w:val="auto"/>
          <w:kern w:val="2"/>
          <w:sz w:val="32"/>
          <w:szCs w:val="32"/>
        </w:rPr>
        <w:t>附件：</w:t>
      </w:r>
      <w:bookmarkStart w:id="1" w:name="_Toc1030864577_WPSOffice_Level1"/>
      <w:r>
        <w:rPr>
          <w:rFonts w:eastAsia="仿宋_GB2312"/>
          <w:color w:val="auto"/>
          <w:kern w:val="2"/>
          <w:sz w:val="32"/>
          <w:szCs w:val="32"/>
        </w:rPr>
        <w:t>1.</w:t>
      </w:r>
      <w:bookmarkEnd w:id="1"/>
      <w:r>
        <w:rPr>
          <w:rFonts w:eastAsia="仿宋_GB2312"/>
          <w:color w:val="auto"/>
          <w:kern w:val="2"/>
          <w:sz w:val="32"/>
          <w:szCs w:val="32"/>
        </w:rPr>
        <w:t>南安市文体旅行业安全生产标准化提升专项行动持续</w:t>
      </w:r>
      <w:r>
        <w:rPr>
          <w:rFonts w:eastAsia="仿宋_GB2312"/>
          <w:color w:val="auto"/>
          <w:spacing w:val="-11"/>
          <w:kern w:val="2"/>
          <w:sz w:val="32"/>
          <w:szCs w:val="32"/>
        </w:rPr>
        <w:t>深化“十百千万”引领工程各行业领域任务分解指导数；</w:t>
      </w:r>
    </w:p>
    <w:p w14:paraId="2C773145">
      <w:pPr>
        <w:pStyle w:val="52"/>
        <w:snapToGrid w:val="0"/>
        <w:spacing w:line="560" w:lineRule="exact"/>
        <w:ind w:firstLine="1600" w:firstLineChars="500"/>
        <w:jc w:val="both"/>
        <w:rPr>
          <w:rFonts w:eastAsia="仿宋_GB2312"/>
          <w:color w:val="auto"/>
          <w:kern w:val="2"/>
          <w:sz w:val="32"/>
          <w:szCs w:val="32"/>
        </w:rPr>
      </w:pPr>
      <w:r>
        <w:rPr>
          <w:rFonts w:eastAsia="仿宋_GB2312"/>
          <w:color w:val="auto"/>
          <w:kern w:val="2"/>
          <w:sz w:val="32"/>
          <w:szCs w:val="32"/>
        </w:rPr>
        <w:t>2.关于持续深化安全生产标准化建设告知书（参考）；</w:t>
      </w:r>
    </w:p>
    <w:p w14:paraId="4E901028">
      <w:pPr>
        <w:pStyle w:val="52"/>
        <w:snapToGrid w:val="0"/>
        <w:spacing w:line="560" w:lineRule="exact"/>
        <w:ind w:firstLine="1600" w:firstLineChars="500"/>
        <w:jc w:val="both"/>
        <w:rPr>
          <w:rFonts w:eastAsia="仿宋_GB2312"/>
          <w:color w:val="auto"/>
          <w:kern w:val="2"/>
          <w:sz w:val="32"/>
          <w:szCs w:val="32"/>
        </w:rPr>
      </w:pPr>
      <w:r>
        <w:rPr>
          <w:rFonts w:eastAsia="仿宋_GB2312"/>
          <w:color w:val="auto"/>
          <w:kern w:val="2"/>
          <w:sz w:val="32"/>
          <w:szCs w:val="32"/>
        </w:rPr>
        <w:t>3.关于持续深化安全生产标准化建设承诺书（参考）；</w:t>
      </w:r>
    </w:p>
    <w:p w14:paraId="3B62096C">
      <w:pPr>
        <w:pStyle w:val="52"/>
        <w:snapToGrid w:val="0"/>
        <w:spacing w:line="560" w:lineRule="exact"/>
        <w:ind w:left="1916" w:leftChars="760" w:hanging="320" w:hangingChars="100"/>
        <w:jc w:val="both"/>
        <w:rPr>
          <w:rFonts w:eastAsia="仿宋_GB2312"/>
          <w:color w:val="auto"/>
          <w:kern w:val="2"/>
          <w:sz w:val="32"/>
          <w:szCs w:val="32"/>
        </w:rPr>
      </w:pPr>
      <w:bookmarkStart w:id="2" w:name="_Toc185483250_WPSOffice_Level1"/>
    </w:p>
    <w:bookmarkEnd w:id="2"/>
    <w:p w14:paraId="2BDBC2D2">
      <w:pPr>
        <w:adjustRightInd w:val="0"/>
        <w:snapToGrid w:val="0"/>
        <w:spacing w:line="560" w:lineRule="exact"/>
        <w:rPr>
          <w:rFonts w:eastAsia="黑体"/>
          <w:sz w:val="32"/>
          <w:szCs w:val="32"/>
        </w:rPr>
      </w:pPr>
      <w:r>
        <w:rPr>
          <w:rFonts w:eastAsia="黑体"/>
          <w:sz w:val="32"/>
          <w:szCs w:val="32"/>
        </w:rPr>
        <w:br w:type="page"/>
      </w:r>
      <w:r>
        <w:rPr>
          <w:rFonts w:eastAsia="黑体"/>
          <w:sz w:val="32"/>
          <w:szCs w:val="32"/>
        </w:rPr>
        <w:t>附件1</w:t>
      </w:r>
    </w:p>
    <w:p w14:paraId="089F3EF9">
      <w:pPr>
        <w:adjustRightInd w:val="0"/>
        <w:snapToGrid w:val="0"/>
        <w:spacing w:line="560" w:lineRule="exact"/>
        <w:jc w:val="center"/>
        <w:rPr>
          <w:rFonts w:eastAsia="方正小标宋简体"/>
          <w:sz w:val="44"/>
          <w:szCs w:val="44"/>
        </w:rPr>
      </w:pPr>
      <w:r>
        <w:rPr>
          <w:rFonts w:eastAsia="方正小标宋简体"/>
          <w:sz w:val="44"/>
          <w:szCs w:val="44"/>
        </w:rPr>
        <w:t>南安市安全生产标准化提升专项行动</w:t>
      </w:r>
    </w:p>
    <w:p w14:paraId="71720357">
      <w:pPr>
        <w:adjustRightInd w:val="0"/>
        <w:snapToGrid w:val="0"/>
        <w:spacing w:line="560" w:lineRule="exact"/>
        <w:jc w:val="center"/>
        <w:rPr>
          <w:rFonts w:eastAsia="方正小标宋简体"/>
          <w:spacing w:val="-6"/>
          <w:sz w:val="44"/>
          <w:szCs w:val="44"/>
        </w:rPr>
      </w:pPr>
      <w:r>
        <w:rPr>
          <w:rFonts w:eastAsia="方正小标宋简体"/>
          <w:sz w:val="44"/>
          <w:szCs w:val="44"/>
        </w:rPr>
        <w:t>持续深化</w:t>
      </w:r>
      <w:r>
        <w:rPr>
          <w:rFonts w:eastAsia="方正小标宋简体"/>
          <w:spacing w:val="-6"/>
          <w:sz w:val="44"/>
          <w:szCs w:val="44"/>
        </w:rPr>
        <w:t>“十百千万”引领工程</w:t>
      </w:r>
    </w:p>
    <w:p w14:paraId="7A521215">
      <w:pPr>
        <w:adjustRightInd w:val="0"/>
        <w:snapToGrid w:val="0"/>
        <w:spacing w:line="560" w:lineRule="exact"/>
        <w:jc w:val="center"/>
        <w:rPr>
          <w:rFonts w:eastAsia="方正小标宋简体"/>
          <w:spacing w:val="-6"/>
          <w:sz w:val="44"/>
          <w:szCs w:val="44"/>
        </w:rPr>
      </w:pPr>
      <w:r>
        <w:rPr>
          <w:rFonts w:eastAsia="方正小标宋简体"/>
          <w:spacing w:val="-6"/>
          <w:sz w:val="44"/>
          <w:szCs w:val="44"/>
        </w:rPr>
        <w:t>各行业领域任务分解指导数</w:t>
      </w:r>
    </w:p>
    <w:p w14:paraId="69331A63">
      <w:pPr>
        <w:pStyle w:val="2"/>
        <w:spacing w:line="560" w:lineRule="exact"/>
        <w:ind w:firstLine="0"/>
        <w:rPr>
          <w:rFonts w:eastAsia="仿宋_GB2312"/>
          <w:spacing w:val="-6"/>
          <w:sz w:val="32"/>
          <w:szCs w:val="32"/>
        </w:rPr>
      </w:pP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547"/>
        <w:gridCol w:w="1359"/>
        <w:gridCol w:w="1375"/>
        <w:gridCol w:w="1344"/>
        <w:gridCol w:w="1828"/>
      </w:tblGrid>
      <w:tr w14:paraId="133B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32" w:type="pct"/>
            <w:vAlign w:val="center"/>
          </w:tcPr>
          <w:p w14:paraId="3F220DCD">
            <w:pPr>
              <w:spacing w:line="560" w:lineRule="exact"/>
              <w:jc w:val="center"/>
              <w:rPr>
                <w:rFonts w:eastAsia="黑体"/>
                <w:sz w:val="28"/>
                <w:szCs w:val="28"/>
              </w:rPr>
            </w:pPr>
            <w:r>
              <w:rPr>
                <w:rFonts w:eastAsia="黑体"/>
                <w:sz w:val="28"/>
                <w:szCs w:val="28"/>
              </w:rPr>
              <w:t>序号</w:t>
            </w:r>
          </w:p>
        </w:tc>
        <w:tc>
          <w:tcPr>
            <w:tcW w:w="1406" w:type="pct"/>
            <w:vAlign w:val="center"/>
          </w:tcPr>
          <w:p w14:paraId="057D8584">
            <w:pPr>
              <w:spacing w:line="560" w:lineRule="exact"/>
              <w:jc w:val="center"/>
              <w:rPr>
                <w:rFonts w:eastAsia="黑体"/>
                <w:sz w:val="28"/>
                <w:szCs w:val="28"/>
              </w:rPr>
            </w:pPr>
            <w:r>
              <w:rPr>
                <w:rFonts w:eastAsia="黑体"/>
                <w:sz w:val="28"/>
                <w:szCs w:val="28"/>
              </w:rPr>
              <w:t>行业领域</w:t>
            </w:r>
          </w:p>
        </w:tc>
        <w:tc>
          <w:tcPr>
            <w:tcW w:w="750" w:type="pct"/>
            <w:vAlign w:val="center"/>
          </w:tcPr>
          <w:p w14:paraId="0134F608">
            <w:pPr>
              <w:spacing w:line="560" w:lineRule="exact"/>
              <w:jc w:val="center"/>
              <w:rPr>
                <w:rFonts w:eastAsia="黑体"/>
                <w:sz w:val="28"/>
                <w:szCs w:val="28"/>
              </w:rPr>
            </w:pPr>
            <w:r>
              <w:rPr>
                <w:rFonts w:eastAsia="黑体"/>
                <w:sz w:val="28"/>
                <w:szCs w:val="28"/>
              </w:rPr>
              <w:t>各县标杆企业数（家）</w:t>
            </w:r>
          </w:p>
        </w:tc>
        <w:tc>
          <w:tcPr>
            <w:tcW w:w="759" w:type="pct"/>
            <w:vAlign w:val="center"/>
          </w:tcPr>
          <w:p w14:paraId="78A7D18C">
            <w:pPr>
              <w:spacing w:line="560" w:lineRule="exact"/>
              <w:jc w:val="center"/>
              <w:rPr>
                <w:rFonts w:eastAsia="黑体"/>
                <w:sz w:val="28"/>
                <w:szCs w:val="28"/>
              </w:rPr>
            </w:pPr>
            <w:r>
              <w:rPr>
                <w:rFonts w:eastAsia="黑体"/>
                <w:sz w:val="28"/>
                <w:szCs w:val="28"/>
              </w:rPr>
              <w:t>各县评审达标企业数（家）</w:t>
            </w:r>
          </w:p>
        </w:tc>
        <w:tc>
          <w:tcPr>
            <w:tcW w:w="742" w:type="pct"/>
            <w:vAlign w:val="center"/>
          </w:tcPr>
          <w:p w14:paraId="57C1B992">
            <w:pPr>
              <w:spacing w:line="560" w:lineRule="exact"/>
              <w:jc w:val="center"/>
              <w:rPr>
                <w:rFonts w:eastAsia="黑体"/>
                <w:sz w:val="28"/>
                <w:szCs w:val="28"/>
              </w:rPr>
            </w:pPr>
            <w:r>
              <w:rPr>
                <w:rFonts w:eastAsia="黑体"/>
                <w:sz w:val="28"/>
                <w:szCs w:val="28"/>
              </w:rPr>
              <w:t>各县示范岗位数（个）</w:t>
            </w:r>
          </w:p>
        </w:tc>
        <w:tc>
          <w:tcPr>
            <w:tcW w:w="1009" w:type="pct"/>
            <w:vAlign w:val="center"/>
          </w:tcPr>
          <w:p w14:paraId="7400ADBB">
            <w:pPr>
              <w:spacing w:line="560" w:lineRule="exact"/>
              <w:jc w:val="center"/>
              <w:rPr>
                <w:rFonts w:eastAsia="黑体"/>
                <w:sz w:val="28"/>
                <w:szCs w:val="28"/>
              </w:rPr>
            </w:pPr>
            <w:r>
              <w:rPr>
                <w:rFonts w:eastAsia="黑体"/>
                <w:sz w:val="28"/>
                <w:szCs w:val="28"/>
              </w:rPr>
              <w:t>责任单位及科室</w:t>
            </w:r>
          </w:p>
        </w:tc>
      </w:tr>
      <w:tr w14:paraId="6105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32" w:type="pct"/>
            <w:vAlign w:val="center"/>
          </w:tcPr>
          <w:p w14:paraId="6A5484F5">
            <w:pPr>
              <w:spacing w:line="560" w:lineRule="exact"/>
              <w:jc w:val="center"/>
              <w:rPr>
                <w:rFonts w:eastAsia="仿宋_GB2312"/>
                <w:sz w:val="28"/>
                <w:szCs w:val="28"/>
              </w:rPr>
            </w:pPr>
            <w:r>
              <w:rPr>
                <w:rFonts w:eastAsia="仿宋_GB2312"/>
                <w:sz w:val="28"/>
                <w:szCs w:val="28"/>
              </w:rPr>
              <w:t>1</w:t>
            </w:r>
          </w:p>
        </w:tc>
        <w:tc>
          <w:tcPr>
            <w:tcW w:w="1406" w:type="pct"/>
            <w:vAlign w:val="center"/>
          </w:tcPr>
          <w:p w14:paraId="60169F2A">
            <w:pPr>
              <w:spacing w:line="560" w:lineRule="exact"/>
              <w:jc w:val="left"/>
              <w:rPr>
                <w:rFonts w:eastAsia="仿宋_GB2312"/>
                <w:sz w:val="28"/>
                <w:szCs w:val="28"/>
              </w:rPr>
            </w:pPr>
            <w:r>
              <w:rPr>
                <w:rFonts w:eastAsia="仿宋_GB2312"/>
                <w:sz w:val="28"/>
                <w:szCs w:val="28"/>
              </w:rPr>
              <w:t>旅游行业（含旅行社、星级饭店&lt;酒店&gt;）</w:t>
            </w:r>
          </w:p>
        </w:tc>
        <w:tc>
          <w:tcPr>
            <w:tcW w:w="750" w:type="pct"/>
            <w:vAlign w:val="center"/>
          </w:tcPr>
          <w:p w14:paraId="0BD2A78D">
            <w:pPr>
              <w:spacing w:line="560" w:lineRule="exact"/>
              <w:jc w:val="center"/>
              <w:rPr>
                <w:rFonts w:eastAsia="仿宋_GB2312"/>
                <w:sz w:val="28"/>
                <w:szCs w:val="28"/>
              </w:rPr>
            </w:pPr>
            <w:r>
              <w:rPr>
                <w:rFonts w:eastAsia="仿宋_GB2312"/>
                <w:sz w:val="28"/>
                <w:szCs w:val="28"/>
              </w:rPr>
              <w:t>1</w:t>
            </w:r>
          </w:p>
        </w:tc>
        <w:tc>
          <w:tcPr>
            <w:tcW w:w="759" w:type="pct"/>
            <w:vAlign w:val="center"/>
          </w:tcPr>
          <w:p w14:paraId="3ED7224A">
            <w:pPr>
              <w:spacing w:line="560" w:lineRule="exact"/>
              <w:jc w:val="center"/>
              <w:rPr>
                <w:rFonts w:eastAsia="仿宋_GB2312"/>
                <w:sz w:val="28"/>
                <w:szCs w:val="28"/>
              </w:rPr>
            </w:pPr>
            <w:r>
              <w:rPr>
                <w:rFonts w:eastAsia="仿宋_GB2312"/>
                <w:sz w:val="28"/>
                <w:szCs w:val="28"/>
              </w:rPr>
              <w:t>1</w:t>
            </w:r>
          </w:p>
        </w:tc>
        <w:tc>
          <w:tcPr>
            <w:tcW w:w="742" w:type="pct"/>
            <w:vAlign w:val="center"/>
          </w:tcPr>
          <w:p w14:paraId="48C499B8">
            <w:pPr>
              <w:spacing w:line="560" w:lineRule="exact"/>
              <w:jc w:val="center"/>
              <w:rPr>
                <w:rFonts w:eastAsia="仿宋_GB2312"/>
                <w:sz w:val="28"/>
                <w:szCs w:val="28"/>
              </w:rPr>
            </w:pPr>
            <w:r>
              <w:rPr>
                <w:rFonts w:eastAsia="仿宋_GB2312"/>
                <w:sz w:val="28"/>
                <w:szCs w:val="28"/>
              </w:rPr>
              <w:t>1</w:t>
            </w:r>
          </w:p>
        </w:tc>
        <w:tc>
          <w:tcPr>
            <w:tcW w:w="1009" w:type="pct"/>
            <w:vAlign w:val="center"/>
          </w:tcPr>
          <w:p w14:paraId="58B65BE5">
            <w:pPr>
              <w:spacing w:line="560" w:lineRule="exact"/>
              <w:ind w:firstLine="280" w:firstLineChars="100"/>
              <w:jc w:val="left"/>
              <w:rPr>
                <w:rFonts w:eastAsia="仿宋_GB2312"/>
                <w:sz w:val="28"/>
                <w:szCs w:val="28"/>
              </w:rPr>
            </w:pPr>
            <w:r>
              <w:rPr>
                <w:rFonts w:eastAsia="仿宋_GB2312"/>
                <w:sz w:val="28"/>
                <w:szCs w:val="28"/>
              </w:rPr>
              <w:t>旅游科</w:t>
            </w:r>
          </w:p>
        </w:tc>
      </w:tr>
      <w:tr w14:paraId="5AA6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332" w:type="pct"/>
            <w:vAlign w:val="center"/>
          </w:tcPr>
          <w:p w14:paraId="18DB9257">
            <w:pPr>
              <w:spacing w:line="560" w:lineRule="exact"/>
              <w:jc w:val="center"/>
              <w:rPr>
                <w:rFonts w:eastAsia="仿宋_GB2312"/>
                <w:sz w:val="28"/>
                <w:szCs w:val="28"/>
              </w:rPr>
            </w:pPr>
            <w:r>
              <w:rPr>
                <w:rFonts w:eastAsia="仿宋_GB2312"/>
                <w:sz w:val="28"/>
                <w:szCs w:val="28"/>
              </w:rPr>
              <w:t>2</w:t>
            </w:r>
          </w:p>
        </w:tc>
        <w:tc>
          <w:tcPr>
            <w:tcW w:w="1406" w:type="pct"/>
            <w:vAlign w:val="center"/>
          </w:tcPr>
          <w:p w14:paraId="0B34DF1D">
            <w:pPr>
              <w:spacing w:line="560" w:lineRule="exact"/>
              <w:jc w:val="left"/>
              <w:rPr>
                <w:rFonts w:eastAsia="仿宋_GB2312"/>
                <w:sz w:val="28"/>
                <w:szCs w:val="28"/>
              </w:rPr>
            </w:pPr>
            <w:r>
              <w:rPr>
                <w:rFonts w:eastAsia="仿宋_GB2312"/>
                <w:sz w:val="28"/>
                <w:szCs w:val="28"/>
              </w:rPr>
              <w:t>文化行业（含互联网上网服务经营场所、娱乐场所和营业性演出、文化艺术经营活动等文化市场、图书馆、文化站&lt;馆&gt;等）</w:t>
            </w:r>
          </w:p>
        </w:tc>
        <w:tc>
          <w:tcPr>
            <w:tcW w:w="750" w:type="pct"/>
            <w:vAlign w:val="center"/>
          </w:tcPr>
          <w:p w14:paraId="7E9190CC">
            <w:pPr>
              <w:spacing w:line="560" w:lineRule="exact"/>
              <w:jc w:val="center"/>
              <w:rPr>
                <w:rFonts w:eastAsia="仿宋_GB2312"/>
                <w:sz w:val="28"/>
                <w:szCs w:val="28"/>
              </w:rPr>
            </w:pPr>
            <w:r>
              <w:rPr>
                <w:rFonts w:eastAsia="仿宋_GB2312"/>
                <w:sz w:val="28"/>
                <w:szCs w:val="28"/>
              </w:rPr>
              <w:t>1</w:t>
            </w:r>
          </w:p>
        </w:tc>
        <w:tc>
          <w:tcPr>
            <w:tcW w:w="759" w:type="pct"/>
            <w:vAlign w:val="center"/>
          </w:tcPr>
          <w:p w14:paraId="732E6084">
            <w:pPr>
              <w:spacing w:line="560" w:lineRule="exact"/>
              <w:jc w:val="center"/>
              <w:rPr>
                <w:rFonts w:eastAsia="仿宋_GB2312"/>
                <w:sz w:val="28"/>
                <w:szCs w:val="28"/>
              </w:rPr>
            </w:pPr>
            <w:r>
              <w:rPr>
                <w:rFonts w:eastAsia="仿宋_GB2312"/>
                <w:sz w:val="28"/>
                <w:szCs w:val="28"/>
              </w:rPr>
              <w:t>1</w:t>
            </w:r>
          </w:p>
        </w:tc>
        <w:tc>
          <w:tcPr>
            <w:tcW w:w="742" w:type="pct"/>
            <w:vAlign w:val="center"/>
          </w:tcPr>
          <w:p w14:paraId="646C1918">
            <w:pPr>
              <w:spacing w:line="560" w:lineRule="exact"/>
              <w:jc w:val="center"/>
              <w:rPr>
                <w:rFonts w:eastAsia="仿宋_GB2312"/>
                <w:sz w:val="28"/>
                <w:szCs w:val="28"/>
              </w:rPr>
            </w:pPr>
            <w:r>
              <w:rPr>
                <w:rFonts w:eastAsia="仿宋_GB2312"/>
                <w:sz w:val="28"/>
                <w:szCs w:val="28"/>
              </w:rPr>
              <w:t>1</w:t>
            </w:r>
          </w:p>
        </w:tc>
        <w:tc>
          <w:tcPr>
            <w:tcW w:w="1009" w:type="pct"/>
            <w:vAlign w:val="center"/>
          </w:tcPr>
          <w:p w14:paraId="764335E8">
            <w:pPr>
              <w:spacing w:line="560" w:lineRule="exact"/>
              <w:jc w:val="left"/>
              <w:rPr>
                <w:rFonts w:eastAsia="仿宋_GB2312"/>
                <w:sz w:val="28"/>
                <w:szCs w:val="28"/>
              </w:rPr>
            </w:pPr>
            <w:r>
              <w:rPr>
                <w:rFonts w:eastAsia="仿宋_GB2312"/>
                <w:sz w:val="28"/>
                <w:szCs w:val="28"/>
              </w:rPr>
              <w:t>文体旅服务中心、市场管理科</w:t>
            </w:r>
          </w:p>
        </w:tc>
      </w:tr>
      <w:tr w14:paraId="2EB2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332" w:type="pct"/>
            <w:vAlign w:val="center"/>
          </w:tcPr>
          <w:p w14:paraId="2ECEAD54">
            <w:pPr>
              <w:spacing w:line="560" w:lineRule="exact"/>
              <w:jc w:val="center"/>
              <w:rPr>
                <w:rFonts w:eastAsia="仿宋_GB2312"/>
                <w:sz w:val="28"/>
                <w:szCs w:val="28"/>
              </w:rPr>
            </w:pPr>
            <w:r>
              <w:rPr>
                <w:rFonts w:eastAsia="仿宋_GB2312"/>
                <w:sz w:val="28"/>
                <w:szCs w:val="28"/>
              </w:rPr>
              <w:t>3</w:t>
            </w:r>
          </w:p>
        </w:tc>
        <w:tc>
          <w:tcPr>
            <w:tcW w:w="1406" w:type="pct"/>
            <w:vAlign w:val="center"/>
          </w:tcPr>
          <w:p w14:paraId="783609B0">
            <w:pPr>
              <w:spacing w:line="560" w:lineRule="exact"/>
              <w:jc w:val="left"/>
              <w:rPr>
                <w:rFonts w:eastAsia="仿宋_GB2312"/>
                <w:sz w:val="28"/>
                <w:szCs w:val="28"/>
              </w:rPr>
            </w:pPr>
            <w:r>
              <w:rPr>
                <w:rFonts w:eastAsia="仿宋_GB2312"/>
                <w:sz w:val="28"/>
                <w:szCs w:val="28"/>
              </w:rPr>
              <w:t>文物和博物馆</w:t>
            </w:r>
          </w:p>
        </w:tc>
        <w:tc>
          <w:tcPr>
            <w:tcW w:w="750" w:type="pct"/>
            <w:vAlign w:val="center"/>
          </w:tcPr>
          <w:p w14:paraId="272AA7AC">
            <w:pPr>
              <w:spacing w:line="560" w:lineRule="exact"/>
              <w:jc w:val="center"/>
              <w:rPr>
                <w:rFonts w:eastAsia="仿宋_GB2312"/>
                <w:sz w:val="28"/>
                <w:szCs w:val="28"/>
              </w:rPr>
            </w:pPr>
            <w:r>
              <w:rPr>
                <w:rFonts w:eastAsia="仿宋_GB2312"/>
                <w:sz w:val="28"/>
                <w:szCs w:val="28"/>
              </w:rPr>
              <w:t>1</w:t>
            </w:r>
          </w:p>
        </w:tc>
        <w:tc>
          <w:tcPr>
            <w:tcW w:w="759" w:type="pct"/>
            <w:vAlign w:val="center"/>
          </w:tcPr>
          <w:p w14:paraId="14F45109">
            <w:pPr>
              <w:spacing w:line="560" w:lineRule="exact"/>
              <w:jc w:val="center"/>
              <w:rPr>
                <w:rFonts w:eastAsia="仿宋_GB2312"/>
                <w:sz w:val="28"/>
                <w:szCs w:val="28"/>
              </w:rPr>
            </w:pPr>
            <w:r>
              <w:rPr>
                <w:rFonts w:eastAsia="仿宋_GB2312"/>
                <w:sz w:val="28"/>
                <w:szCs w:val="28"/>
              </w:rPr>
              <w:t>1</w:t>
            </w:r>
          </w:p>
        </w:tc>
        <w:tc>
          <w:tcPr>
            <w:tcW w:w="742" w:type="pct"/>
            <w:vAlign w:val="center"/>
          </w:tcPr>
          <w:p w14:paraId="59E231B4">
            <w:pPr>
              <w:spacing w:line="560" w:lineRule="exact"/>
              <w:jc w:val="center"/>
              <w:rPr>
                <w:rFonts w:eastAsia="仿宋_GB2312"/>
                <w:sz w:val="28"/>
                <w:szCs w:val="28"/>
              </w:rPr>
            </w:pPr>
            <w:r>
              <w:rPr>
                <w:rFonts w:eastAsia="仿宋_GB2312"/>
                <w:sz w:val="28"/>
                <w:szCs w:val="28"/>
              </w:rPr>
              <w:t>1</w:t>
            </w:r>
          </w:p>
        </w:tc>
        <w:tc>
          <w:tcPr>
            <w:tcW w:w="1009" w:type="pct"/>
            <w:vAlign w:val="center"/>
          </w:tcPr>
          <w:p w14:paraId="789FE4B2">
            <w:pPr>
              <w:spacing w:line="560" w:lineRule="exact"/>
              <w:ind w:firstLine="280" w:firstLineChars="100"/>
              <w:jc w:val="left"/>
              <w:rPr>
                <w:rFonts w:eastAsia="仿宋_GB2312"/>
                <w:sz w:val="28"/>
                <w:szCs w:val="28"/>
              </w:rPr>
            </w:pPr>
            <w:r>
              <w:rPr>
                <w:rFonts w:eastAsia="仿宋_GB2312"/>
                <w:sz w:val="28"/>
                <w:szCs w:val="28"/>
              </w:rPr>
              <w:t>文博科</w:t>
            </w:r>
          </w:p>
        </w:tc>
      </w:tr>
    </w:tbl>
    <w:p w14:paraId="754CEE04">
      <w:pPr>
        <w:pStyle w:val="10"/>
        <w:spacing w:line="560" w:lineRule="exact"/>
        <w:rPr>
          <w:rFonts w:eastAsia="仿宋_GB2312"/>
          <w:sz w:val="32"/>
          <w:szCs w:val="32"/>
        </w:rPr>
      </w:pPr>
    </w:p>
    <w:p w14:paraId="362DDC46">
      <w:pPr>
        <w:adjustRightInd w:val="0"/>
        <w:snapToGrid w:val="0"/>
        <w:spacing w:line="560" w:lineRule="exact"/>
        <w:rPr>
          <w:rFonts w:eastAsia="黑体"/>
          <w:sz w:val="32"/>
          <w:szCs w:val="32"/>
        </w:rPr>
        <w:sectPr>
          <w:pgSz w:w="11906" w:h="16838"/>
          <w:pgMar w:top="2098" w:right="1531" w:bottom="2098" w:left="1531" w:header="851" w:footer="992" w:gutter="0"/>
          <w:pgNumType w:fmt="numberInDash"/>
          <w:cols w:space="0" w:num="1"/>
          <w:docGrid w:linePitch="312" w:charSpace="0"/>
        </w:sectPr>
      </w:pPr>
    </w:p>
    <w:p w14:paraId="5C89C959">
      <w:pPr>
        <w:adjustRightInd w:val="0"/>
        <w:snapToGrid w:val="0"/>
        <w:spacing w:line="500" w:lineRule="exact"/>
        <w:rPr>
          <w:rFonts w:eastAsia="黑体"/>
          <w:sz w:val="32"/>
          <w:szCs w:val="32"/>
        </w:rPr>
      </w:pPr>
      <w:r>
        <w:rPr>
          <w:rFonts w:eastAsia="黑体"/>
          <w:sz w:val="32"/>
          <w:szCs w:val="32"/>
        </w:rPr>
        <w:t>附件2</w:t>
      </w:r>
    </w:p>
    <w:p w14:paraId="1504F286">
      <w:pPr>
        <w:pStyle w:val="10"/>
        <w:spacing w:line="500" w:lineRule="exact"/>
        <w:rPr>
          <w:rFonts w:eastAsia="仿宋_GB2312"/>
          <w:sz w:val="32"/>
          <w:szCs w:val="32"/>
        </w:rPr>
      </w:pPr>
    </w:p>
    <w:p w14:paraId="60D72F21">
      <w:pPr>
        <w:adjustRightInd w:val="0"/>
        <w:snapToGrid w:val="0"/>
        <w:spacing w:line="500" w:lineRule="exact"/>
        <w:jc w:val="center"/>
        <w:rPr>
          <w:rFonts w:eastAsia="方正小标宋简体"/>
          <w:snapToGrid w:val="0"/>
          <w:kern w:val="0"/>
          <w:sz w:val="44"/>
          <w:szCs w:val="44"/>
        </w:rPr>
      </w:pPr>
      <w:r>
        <w:rPr>
          <w:rFonts w:eastAsia="方正小标宋简体"/>
          <w:snapToGrid w:val="0"/>
          <w:kern w:val="0"/>
          <w:sz w:val="44"/>
          <w:szCs w:val="44"/>
        </w:rPr>
        <w:t>关于持续深化安全生产标准化建设告知书</w:t>
      </w:r>
    </w:p>
    <w:p w14:paraId="02451C02">
      <w:pPr>
        <w:adjustRightInd w:val="0"/>
        <w:snapToGrid w:val="0"/>
        <w:spacing w:line="500" w:lineRule="exact"/>
        <w:jc w:val="center"/>
        <w:rPr>
          <w:rFonts w:eastAsia="楷体_GB2312"/>
          <w:sz w:val="32"/>
          <w:szCs w:val="32"/>
        </w:rPr>
      </w:pPr>
      <w:r>
        <w:rPr>
          <w:rFonts w:eastAsia="楷体_GB2312"/>
          <w:snapToGrid w:val="0"/>
          <w:kern w:val="0"/>
          <w:sz w:val="32"/>
          <w:szCs w:val="32"/>
        </w:rPr>
        <w:t>（</w:t>
      </w:r>
      <w:r>
        <w:rPr>
          <w:rFonts w:eastAsia="楷体_GB2312"/>
          <w:sz w:val="32"/>
          <w:szCs w:val="32"/>
        </w:rPr>
        <w:t>参考</w:t>
      </w:r>
      <w:r>
        <w:rPr>
          <w:rFonts w:eastAsia="楷体_GB2312"/>
          <w:snapToGrid w:val="0"/>
          <w:kern w:val="0"/>
          <w:sz w:val="32"/>
          <w:szCs w:val="32"/>
        </w:rPr>
        <w:t>）</w:t>
      </w:r>
    </w:p>
    <w:p w14:paraId="641FF5AC">
      <w:pPr>
        <w:adjustRightInd w:val="0"/>
        <w:snapToGrid w:val="0"/>
        <w:spacing w:line="500" w:lineRule="exact"/>
        <w:jc w:val="center"/>
        <w:rPr>
          <w:rFonts w:eastAsia="仿宋_GB2312"/>
          <w:sz w:val="32"/>
          <w:szCs w:val="32"/>
        </w:rPr>
      </w:pPr>
    </w:p>
    <w:p w14:paraId="46028B7E">
      <w:pPr>
        <w:pStyle w:val="15"/>
        <w:adjustRightInd w:val="0"/>
        <w:snapToGrid w:val="0"/>
        <w:spacing w:after="0" w:line="500" w:lineRule="exact"/>
        <w:ind w:left="0" w:leftChars="0"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14:paraId="265127BA">
      <w:pPr>
        <w:adjustRightInd w:val="0"/>
        <w:snapToGrid w:val="0"/>
        <w:spacing w:line="500" w:lineRule="exact"/>
        <w:ind w:firstLine="640" w:firstLineChars="200"/>
        <w:rPr>
          <w:rFonts w:eastAsia="仿宋_GB2312"/>
          <w:sz w:val="32"/>
          <w:szCs w:val="32"/>
        </w:rPr>
      </w:pPr>
      <w:r>
        <w:rPr>
          <w:rFonts w:eastAsia="仿宋_GB2312"/>
          <w:sz w:val="32"/>
          <w:szCs w:val="32"/>
        </w:rPr>
        <w:t>2021年9月1</w:t>
      </w:r>
      <w:r>
        <w:rPr>
          <w:rFonts w:hint="eastAsia" w:eastAsia="仿宋_GB2312"/>
          <w:sz w:val="32"/>
          <w:szCs w:val="32"/>
          <w:lang w:val="en-US" w:eastAsia="zh-CN"/>
        </w:rPr>
        <w:t>日</w:t>
      </w:r>
      <w:r>
        <w:rPr>
          <w:rFonts w:eastAsia="仿宋_GB2312"/>
          <w:sz w:val="32"/>
          <w:szCs w:val="32"/>
        </w:rPr>
        <w:t>起施行新修改的《安全生产法》第</w:t>
      </w:r>
      <w:r>
        <w:rPr>
          <w:rFonts w:hint="eastAsia" w:eastAsia="仿宋_GB2312"/>
          <w:sz w:val="32"/>
          <w:szCs w:val="32"/>
          <w:lang w:val="en-US" w:eastAsia="zh-CN"/>
        </w:rPr>
        <w:t>二十一</w:t>
      </w:r>
      <w:bookmarkStart w:id="3" w:name="_GoBack"/>
      <w:bookmarkEnd w:id="3"/>
      <w:r>
        <w:rPr>
          <w:rFonts w:eastAsia="仿宋_GB2312"/>
          <w:sz w:val="32"/>
          <w:szCs w:val="32"/>
        </w:rPr>
        <w:t>条，明确将“建立健全并落实本单位全员安全生产责任制，加强安全生产标准化建设”列为生产经营单位主要负责人第一条安全生产工作职责。根据《泉州市安全生产委员会关于印发泉州市安全生产标准化提升专项行动方案的通知》（泉安委〔2021〕18号）精神，请你单位按照《企业安全生产标准化基本规范》（GB/T 33000-2016）和本单位创建安全生产标准化选定的评定标准，于</w:t>
      </w:r>
    </w:p>
    <w:p w14:paraId="07373705">
      <w:pPr>
        <w:adjustRightInd w:val="0"/>
        <w:snapToGrid w:val="0"/>
        <w:spacing w:line="500" w:lineRule="exact"/>
        <w:rPr>
          <w:rFonts w:eastAsia="仿宋_GB2312"/>
          <w:sz w:val="32"/>
          <w:szCs w:val="32"/>
        </w:rPr>
      </w:pPr>
      <w:r>
        <w:rPr>
          <w:rFonts w:eastAsia="仿宋_GB2312"/>
          <w:sz w:val="32"/>
          <w:szCs w:val="32"/>
          <w:u w:val="single"/>
        </w:rPr>
        <w:t xml:space="preserve"> 2025 </w:t>
      </w:r>
      <w:r>
        <w:rPr>
          <w:rFonts w:eastAsia="仿宋_GB2312"/>
          <w:sz w:val="32"/>
          <w:szCs w:val="32"/>
        </w:rPr>
        <w:t>年</w:t>
      </w:r>
      <w:r>
        <w:rPr>
          <w:rFonts w:eastAsia="仿宋_GB2312"/>
          <w:sz w:val="32"/>
          <w:szCs w:val="32"/>
          <w:u w:val="single"/>
        </w:rPr>
        <w:t xml:space="preserve"> 3 </w:t>
      </w:r>
      <w:r>
        <w:rPr>
          <w:rFonts w:eastAsia="仿宋_GB2312"/>
          <w:sz w:val="32"/>
          <w:szCs w:val="32"/>
        </w:rPr>
        <w:t>月</w:t>
      </w:r>
      <w:r>
        <w:rPr>
          <w:rFonts w:eastAsia="仿宋_GB2312"/>
          <w:sz w:val="32"/>
          <w:szCs w:val="32"/>
          <w:u w:val="single"/>
        </w:rPr>
        <w:t xml:space="preserve"> 30 </w:t>
      </w:r>
      <w:r>
        <w:rPr>
          <w:rFonts w:eastAsia="仿宋_GB2312"/>
          <w:sz w:val="32"/>
          <w:szCs w:val="32"/>
        </w:rPr>
        <w:t>日前完成一次安全生产标准化提升年度自评工作，及时整改不符合项，持续深化本单位安全生产标准化建设、运行，提升本质安全水平。</w:t>
      </w:r>
    </w:p>
    <w:p w14:paraId="3B682CF5">
      <w:pPr>
        <w:adjustRightInd w:val="0"/>
        <w:snapToGrid w:val="0"/>
        <w:spacing w:line="500" w:lineRule="exact"/>
        <w:ind w:firstLine="640" w:firstLineChars="200"/>
        <w:rPr>
          <w:rFonts w:eastAsia="仿宋_GB2312"/>
          <w:sz w:val="32"/>
          <w:szCs w:val="32"/>
        </w:rPr>
      </w:pPr>
      <w:r>
        <w:rPr>
          <w:rFonts w:eastAsia="仿宋_GB2312"/>
          <w:sz w:val="32"/>
          <w:szCs w:val="32"/>
        </w:rPr>
        <w:t>特此告知!</w:t>
      </w:r>
    </w:p>
    <w:p w14:paraId="245AB05A">
      <w:pPr>
        <w:adjustRightInd w:val="0"/>
        <w:snapToGrid w:val="0"/>
        <w:spacing w:line="500" w:lineRule="exact"/>
        <w:ind w:firstLine="640" w:firstLineChars="200"/>
        <w:rPr>
          <w:rFonts w:eastAsia="仿宋_GB2312"/>
          <w:sz w:val="32"/>
          <w:szCs w:val="32"/>
        </w:rPr>
      </w:pPr>
    </w:p>
    <w:p w14:paraId="5EED9764">
      <w:pPr>
        <w:adjustRightInd w:val="0"/>
        <w:snapToGrid w:val="0"/>
        <w:spacing w:line="500" w:lineRule="exact"/>
        <w:ind w:firstLine="640" w:firstLineChars="200"/>
        <w:rPr>
          <w:rFonts w:eastAsia="仿宋_GB2312"/>
          <w:sz w:val="32"/>
          <w:szCs w:val="32"/>
        </w:rPr>
      </w:pPr>
    </w:p>
    <w:p w14:paraId="3E80ECE3">
      <w:pPr>
        <w:adjustRightInd w:val="0"/>
        <w:snapToGrid w:val="0"/>
        <w:spacing w:line="500" w:lineRule="exact"/>
        <w:ind w:firstLine="4160" w:firstLineChars="1300"/>
        <w:rPr>
          <w:rFonts w:eastAsia="仿宋_GB2312"/>
          <w:sz w:val="32"/>
          <w:szCs w:val="32"/>
        </w:rPr>
      </w:pPr>
      <w:r>
        <w:rPr>
          <w:rFonts w:eastAsia="仿宋_GB2312"/>
          <w:sz w:val="32"/>
          <w:szCs w:val="32"/>
        </w:rPr>
        <w:t>南安市文化体育和旅游局（盖章）</w:t>
      </w:r>
    </w:p>
    <w:p w14:paraId="7A79FB3F">
      <w:pPr>
        <w:pStyle w:val="10"/>
        <w:wordWrap w:val="0"/>
        <w:spacing w:line="500" w:lineRule="exact"/>
        <w:jc w:val="right"/>
        <w:rPr>
          <w:rFonts w:eastAsia="仿宋_GB2312"/>
          <w:sz w:val="32"/>
          <w:szCs w:val="32"/>
        </w:rPr>
      </w:pPr>
      <w:r>
        <w:rPr>
          <w:rFonts w:eastAsia="仿宋_GB2312"/>
          <w:sz w:val="32"/>
          <w:szCs w:val="32"/>
        </w:rPr>
        <w:t xml:space="preserve">                                年   月   日　　　　</w:t>
      </w:r>
    </w:p>
    <w:p w14:paraId="0E2E4388">
      <w:pPr>
        <w:adjustRightInd w:val="0"/>
        <w:snapToGrid w:val="0"/>
        <w:spacing w:line="500" w:lineRule="exact"/>
        <w:ind w:firstLine="640" w:firstLineChars="200"/>
        <w:rPr>
          <w:rFonts w:eastAsia="仿宋_GB2312"/>
          <w:sz w:val="32"/>
          <w:szCs w:val="32"/>
        </w:rPr>
      </w:pPr>
    </w:p>
    <w:p w14:paraId="105B1BCA">
      <w:pPr>
        <w:adjustRightInd w:val="0"/>
        <w:snapToGrid w:val="0"/>
        <w:spacing w:line="500" w:lineRule="exact"/>
        <w:rPr>
          <w:rFonts w:eastAsia="仿宋_GB2312"/>
          <w:sz w:val="32"/>
          <w:szCs w:val="32"/>
        </w:rPr>
      </w:pPr>
      <w:r>
        <w:rPr>
          <w:rFonts w:eastAsia="仿宋_GB2312"/>
          <w:sz w:val="32"/>
          <w:szCs w:val="32"/>
        </w:rPr>
        <w:t>接收单位（盖章）：</w:t>
      </w:r>
    </w:p>
    <w:p w14:paraId="1488570B">
      <w:pPr>
        <w:adjustRightInd w:val="0"/>
        <w:snapToGrid w:val="0"/>
        <w:spacing w:line="500" w:lineRule="exact"/>
        <w:rPr>
          <w:rFonts w:eastAsia="仿宋_GB2312"/>
          <w:sz w:val="32"/>
          <w:szCs w:val="32"/>
        </w:rPr>
      </w:pPr>
      <w:r>
        <w:rPr>
          <w:rFonts w:eastAsia="仿宋_GB2312"/>
          <w:sz w:val="32"/>
          <w:szCs w:val="32"/>
        </w:rPr>
        <w:t>主要负责人（签字）：</w:t>
      </w:r>
    </w:p>
    <w:p w14:paraId="43CB980D">
      <w:pPr>
        <w:spacing w:line="500" w:lineRule="exact"/>
        <w:rPr>
          <w:rFonts w:eastAsia="仿宋_GB2312"/>
          <w:sz w:val="32"/>
          <w:szCs w:val="32"/>
        </w:rPr>
      </w:pPr>
    </w:p>
    <w:p w14:paraId="2C4E0A0A">
      <w:pPr>
        <w:adjustRightInd w:val="0"/>
        <w:snapToGrid w:val="0"/>
        <w:spacing w:line="500" w:lineRule="exact"/>
        <w:ind w:firstLine="643" w:firstLineChars="200"/>
        <w:rPr>
          <w:rFonts w:eastAsia="仿宋_GB2312"/>
          <w:sz w:val="32"/>
          <w:szCs w:val="32"/>
        </w:rPr>
      </w:pPr>
      <w:r>
        <w:rPr>
          <w:rFonts w:eastAsia="仿宋_GB2312"/>
          <w:b/>
          <w:bCs/>
          <w:sz w:val="32"/>
          <w:szCs w:val="32"/>
        </w:rPr>
        <w:t>注：</w:t>
      </w:r>
      <w:r>
        <w:rPr>
          <w:rFonts w:eastAsia="仿宋_GB2312"/>
          <w:sz w:val="24"/>
        </w:rPr>
        <w:t>本告知书一式四份，一份留存企业备查、一份在企业公示栏公示、一份报送属地乡镇（街道、园区）安办备案、一份报送所在县（市、区）行业领域主管（监管）部门备案。</w:t>
      </w:r>
    </w:p>
    <w:p w14:paraId="05F1516C">
      <w:pPr>
        <w:adjustRightInd w:val="0"/>
        <w:snapToGrid w:val="0"/>
        <w:spacing w:line="560" w:lineRule="exact"/>
        <w:rPr>
          <w:rFonts w:eastAsia="仿宋_GB2312"/>
          <w:sz w:val="32"/>
          <w:szCs w:val="32"/>
        </w:rPr>
        <w:sectPr>
          <w:pgSz w:w="11906" w:h="16838"/>
          <w:pgMar w:top="1134" w:right="1531" w:bottom="1134" w:left="1531" w:header="851" w:footer="992" w:gutter="0"/>
          <w:pgNumType w:fmt="numberInDash"/>
          <w:cols w:space="0" w:num="1"/>
          <w:docGrid w:linePitch="312" w:charSpace="0"/>
        </w:sectPr>
      </w:pPr>
      <w:r>
        <w:rPr>
          <w:rFonts w:eastAsia="仿宋_GB2312"/>
          <w:sz w:val="32"/>
          <w:szCs w:val="32"/>
        </w:rPr>
        <w:br w:type="page"/>
      </w:r>
    </w:p>
    <w:p w14:paraId="46558BAC">
      <w:pPr>
        <w:adjustRightInd w:val="0"/>
        <w:snapToGrid w:val="0"/>
        <w:spacing w:line="500" w:lineRule="exact"/>
        <w:rPr>
          <w:rFonts w:eastAsia="黑体"/>
          <w:sz w:val="32"/>
          <w:szCs w:val="32"/>
        </w:rPr>
      </w:pPr>
      <w:r>
        <w:rPr>
          <w:rFonts w:eastAsia="黑体"/>
          <w:sz w:val="32"/>
          <w:szCs w:val="32"/>
        </w:rPr>
        <w:t>附件3</w:t>
      </w:r>
    </w:p>
    <w:p w14:paraId="79E65BB7">
      <w:pPr>
        <w:pStyle w:val="10"/>
        <w:spacing w:line="500" w:lineRule="exact"/>
        <w:rPr>
          <w:rFonts w:eastAsia="仿宋_GB2312"/>
          <w:sz w:val="32"/>
          <w:szCs w:val="32"/>
        </w:rPr>
      </w:pPr>
    </w:p>
    <w:p w14:paraId="5071EE8B">
      <w:pPr>
        <w:adjustRightInd w:val="0"/>
        <w:snapToGrid w:val="0"/>
        <w:spacing w:line="500" w:lineRule="exact"/>
        <w:jc w:val="center"/>
        <w:rPr>
          <w:rFonts w:eastAsia="方正小标宋简体"/>
          <w:snapToGrid w:val="0"/>
          <w:kern w:val="0"/>
          <w:sz w:val="44"/>
          <w:szCs w:val="44"/>
        </w:rPr>
      </w:pPr>
      <w:r>
        <w:rPr>
          <w:rFonts w:eastAsia="方正小标宋简体"/>
          <w:snapToGrid w:val="0"/>
          <w:kern w:val="0"/>
          <w:sz w:val="44"/>
          <w:szCs w:val="44"/>
        </w:rPr>
        <w:t>关于持续深化安全生产标准化承诺书</w:t>
      </w:r>
    </w:p>
    <w:p w14:paraId="57F8C104">
      <w:pPr>
        <w:adjustRightInd w:val="0"/>
        <w:snapToGrid w:val="0"/>
        <w:spacing w:line="500" w:lineRule="exact"/>
        <w:jc w:val="center"/>
        <w:rPr>
          <w:rFonts w:eastAsia="楷体_GB2312"/>
          <w:kern w:val="0"/>
          <w:sz w:val="32"/>
          <w:szCs w:val="32"/>
        </w:rPr>
      </w:pPr>
      <w:r>
        <w:rPr>
          <w:rFonts w:eastAsia="楷体_GB2312"/>
          <w:snapToGrid w:val="0"/>
          <w:kern w:val="0"/>
          <w:sz w:val="32"/>
          <w:szCs w:val="32"/>
        </w:rPr>
        <w:t>（参考）</w:t>
      </w:r>
    </w:p>
    <w:p w14:paraId="7D2E7BE3">
      <w:pPr>
        <w:spacing w:line="500" w:lineRule="exact"/>
        <w:jc w:val="left"/>
        <w:rPr>
          <w:rFonts w:eastAsia="仿宋_GB2312"/>
          <w:kern w:val="0"/>
          <w:sz w:val="32"/>
          <w:szCs w:val="32"/>
        </w:rPr>
      </w:pPr>
    </w:p>
    <w:p w14:paraId="21B7EDC5">
      <w:pPr>
        <w:spacing w:line="500" w:lineRule="exact"/>
        <w:ind w:firstLine="640" w:firstLineChars="200"/>
        <w:rPr>
          <w:rFonts w:eastAsia="仿宋_GB2312"/>
          <w:kern w:val="0"/>
          <w:sz w:val="32"/>
          <w:szCs w:val="32"/>
        </w:rPr>
      </w:pPr>
      <w:r>
        <w:rPr>
          <w:rFonts w:eastAsia="仿宋_GB2312"/>
          <w:kern w:val="0"/>
          <w:sz w:val="32"/>
          <w:szCs w:val="32"/>
        </w:rPr>
        <w:t>本单位及本人郑重承诺，按照《企业安全生产标准化基本规范》（GB/T 33000-2016）和有关行业（专业）标准化评定标准的要求自主创建、自主运行，从目标职责、制度化管理、教育培训、现场管理、安全风险管控及隐患排查治理、应急管理、事故管理和持续改进等八个方面，建立与本单位日常安全管理相适应、以安全生产标准化为重点的本单位自主安全生产管理体系，实现安全生产现场管理、操作行为、设备设施和作业环境规范化，并于</w:t>
      </w:r>
      <w:r>
        <w:rPr>
          <w:rFonts w:eastAsia="仿宋_GB2312"/>
          <w:sz w:val="32"/>
          <w:szCs w:val="32"/>
          <w:u w:val="single"/>
        </w:rPr>
        <w:t xml:space="preserve">2025 </w:t>
      </w:r>
      <w:r>
        <w:rPr>
          <w:rFonts w:eastAsia="仿宋_GB2312"/>
          <w:sz w:val="32"/>
          <w:szCs w:val="32"/>
        </w:rPr>
        <w:t>年</w:t>
      </w:r>
      <w:r>
        <w:rPr>
          <w:rFonts w:eastAsia="仿宋_GB2312"/>
          <w:sz w:val="32"/>
          <w:szCs w:val="32"/>
          <w:u w:val="single"/>
        </w:rPr>
        <w:t xml:space="preserve"> 3 </w:t>
      </w:r>
      <w:r>
        <w:rPr>
          <w:rFonts w:eastAsia="仿宋_GB2312"/>
          <w:sz w:val="32"/>
          <w:szCs w:val="32"/>
        </w:rPr>
        <w:t>月</w:t>
      </w:r>
      <w:r>
        <w:rPr>
          <w:rFonts w:eastAsia="仿宋_GB2312"/>
          <w:sz w:val="32"/>
          <w:szCs w:val="32"/>
          <w:u w:val="single"/>
        </w:rPr>
        <w:t xml:space="preserve"> 30 </w:t>
      </w:r>
      <w:r>
        <w:rPr>
          <w:rFonts w:eastAsia="仿宋_GB2312"/>
          <w:sz w:val="32"/>
          <w:szCs w:val="32"/>
        </w:rPr>
        <w:t>日</w:t>
      </w:r>
      <w:r>
        <w:rPr>
          <w:rFonts w:eastAsia="仿宋_GB2312"/>
          <w:kern w:val="0"/>
          <w:sz w:val="32"/>
          <w:szCs w:val="32"/>
        </w:rPr>
        <w:t>之前完成一次安全生产标准化年度自评工作，及时整改不符合项</w:t>
      </w:r>
      <w:r>
        <w:rPr>
          <w:rFonts w:eastAsia="仿宋_GB2312"/>
          <w:sz w:val="32"/>
          <w:szCs w:val="32"/>
        </w:rPr>
        <w:t>，持续深化本单位安全生产标准化建设、运行，提升本质安全水平</w:t>
      </w:r>
      <w:r>
        <w:rPr>
          <w:rFonts w:eastAsia="仿宋_GB2312"/>
          <w:kern w:val="0"/>
          <w:sz w:val="32"/>
          <w:szCs w:val="32"/>
        </w:rPr>
        <w:t>。如未正确履行安全生产主体责任，加强安全生产标准化建设，愿意承担一切行政的、民事的和刑事的责任。欢迎社会公众对我单位安全生产标准化建设及其运行状况进行监督，如发现隐患可向政府及有关部门举报。</w:t>
      </w:r>
    </w:p>
    <w:p w14:paraId="45BAEDFC">
      <w:pPr>
        <w:adjustRightInd w:val="0"/>
        <w:snapToGrid w:val="0"/>
        <w:spacing w:line="500" w:lineRule="exact"/>
        <w:ind w:firstLine="640" w:firstLineChars="200"/>
        <w:rPr>
          <w:rFonts w:eastAsia="仿宋_GB2312"/>
          <w:kern w:val="0"/>
          <w:sz w:val="32"/>
          <w:szCs w:val="32"/>
        </w:rPr>
      </w:pPr>
    </w:p>
    <w:p w14:paraId="419CD64A">
      <w:pPr>
        <w:spacing w:line="500" w:lineRule="exact"/>
        <w:ind w:firstLine="640" w:firstLineChars="200"/>
        <w:rPr>
          <w:rFonts w:eastAsia="仿宋_GB2312"/>
          <w:kern w:val="0"/>
          <w:sz w:val="32"/>
          <w:szCs w:val="32"/>
        </w:rPr>
      </w:pPr>
      <w:r>
        <w:rPr>
          <w:rFonts w:eastAsia="仿宋_GB2312"/>
          <w:kern w:val="0"/>
          <w:sz w:val="32"/>
          <w:szCs w:val="32"/>
        </w:rPr>
        <w:t>承诺单位（盖章）：          法定代表人（签名）：</w:t>
      </w:r>
    </w:p>
    <w:p w14:paraId="35F1D1BB">
      <w:pPr>
        <w:spacing w:line="500" w:lineRule="exact"/>
        <w:ind w:firstLine="640" w:firstLineChars="200"/>
        <w:rPr>
          <w:rFonts w:eastAsia="仿宋_GB2312"/>
          <w:kern w:val="0"/>
          <w:sz w:val="32"/>
          <w:szCs w:val="32"/>
        </w:rPr>
      </w:pPr>
    </w:p>
    <w:p w14:paraId="796BEB2F">
      <w:pPr>
        <w:pStyle w:val="10"/>
        <w:wordWrap w:val="0"/>
        <w:spacing w:line="500" w:lineRule="exact"/>
        <w:jc w:val="right"/>
        <w:rPr>
          <w:rFonts w:eastAsia="仿宋_GB2312"/>
          <w:kern w:val="0"/>
          <w:sz w:val="32"/>
          <w:szCs w:val="32"/>
        </w:rPr>
      </w:pPr>
      <w:r>
        <w:rPr>
          <w:rFonts w:eastAsia="仿宋_GB2312"/>
          <w:kern w:val="0"/>
          <w:sz w:val="32"/>
          <w:szCs w:val="32"/>
        </w:rPr>
        <w:t xml:space="preserve">                        年   月   日</w:t>
      </w:r>
      <w:r>
        <w:rPr>
          <w:rFonts w:eastAsia="仿宋_GB2312"/>
          <w:sz w:val="32"/>
          <w:szCs w:val="32"/>
        </w:rPr>
        <w:t>　　　　</w:t>
      </w:r>
    </w:p>
    <w:p w14:paraId="3B9D0DD2">
      <w:pPr>
        <w:spacing w:line="500" w:lineRule="exact"/>
        <w:jc w:val="left"/>
        <w:rPr>
          <w:rFonts w:eastAsia="仿宋_GB2312"/>
          <w:kern w:val="0"/>
          <w:sz w:val="32"/>
          <w:szCs w:val="32"/>
        </w:rPr>
      </w:pPr>
    </w:p>
    <w:p w14:paraId="68102D4D">
      <w:pPr>
        <w:adjustRightInd w:val="0"/>
        <w:snapToGrid w:val="0"/>
        <w:spacing w:line="400" w:lineRule="exact"/>
        <w:ind w:firstLine="643" w:firstLineChars="200"/>
        <w:jc w:val="left"/>
        <w:rPr>
          <w:rFonts w:eastAsia="仿宋_GB2312"/>
          <w:sz w:val="24"/>
        </w:rPr>
      </w:pPr>
      <w:r>
        <w:rPr>
          <w:rFonts w:eastAsia="仿宋_GB2312"/>
          <w:b/>
          <w:bCs/>
          <w:kern w:val="0"/>
          <w:sz w:val="32"/>
          <w:szCs w:val="32"/>
        </w:rPr>
        <w:t>注：</w:t>
      </w:r>
      <w:r>
        <w:rPr>
          <w:rFonts w:eastAsia="仿宋_GB2312"/>
          <w:kern w:val="0"/>
          <w:sz w:val="24"/>
        </w:rPr>
        <w:t>本承诺书一式四份，一份留存企业备查、一份在企业公示栏公示、一份报送属地乡镇</w:t>
      </w:r>
      <w:r>
        <w:rPr>
          <w:rFonts w:eastAsia="仿宋_GB2312"/>
          <w:sz w:val="24"/>
        </w:rPr>
        <w:t>（街道、园区）</w:t>
      </w:r>
      <w:r>
        <w:rPr>
          <w:rFonts w:eastAsia="仿宋_GB2312"/>
          <w:kern w:val="0"/>
          <w:sz w:val="24"/>
        </w:rPr>
        <w:t>安办备案、一份报送</w:t>
      </w:r>
      <w:r>
        <w:rPr>
          <w:rFonts w:eastAsia="仿宋_GB2312"/>
          <w:sz w:val="24"/>
        </w:rPr>
        <w:t>所在县（市、区）行业领域主管（监管）部门备案、</w:t>
      </w:r>
    </w:p>
    <w:p w14:paraId="64950ACE">
      <w:pPr>
        <w:pStyle w:val="2"/>
        <w:ind w:firstLine="0"/>
        <w:rPr>
          <w:rFonts w:eastAsia="仿宋_GB2312"/>
          <w:sz w:val="24"/>
        </w:rPr>
      </w:pPr>
    </w:p>
    <w:p w14:paraId="1B507AEC">
      <w:pPr>
        <w:pBdr>
          <w:top w:val="single" w:color="auto" w:sz="4" w:space="0"/>
          <w:bottom w:val="single" w:color="auto" w:sz="4" w:space="0"/>
          <w:between w:val="single" w:color="auto" w:sz="4" w:space="0"/>
        </w:pBdr>
        <w:adjustRightInd w:val="0"/>
        <w:snapToGrid w:val="0"/>
        <w:spacing w:line="560" w:lineRule="exact"/>
        <w:ind w:firstLine="280" w:firstLineChars="100"/>
        <w:rPr>
          <w:rFonts w:eastAsia="仿宋_GB2312"/>
          <w:sz w:val="28"/>
          <w:szCs w:val="28"/>
        </w:rPr>
      </w:pPr>
      <w:r>
        <w:rPr>
          <w:rFonts w:eastAsia="仿宋_GB2312"/>
          <w:sz w:val="28"/>
          <w:szCs w:val="28"/>
        </w:rPr>
        <w:t>南安市文化体育和旅游局办公室           2025年2月14日印发</w:t>
      </w:r>
      <w:bookmarkEnd w:id="0"/>
    </w:p>
    <w:p w14:paraId="2DC5B213">
      <w:pPr>
        <w:pBdr>
          <w:top w:val="single" w:color="auto" w:sz="4" w:space="0"/>
          <w:bottom w:val="single" w:color="auto" w:sz="4" w:space="0"/>
          <w:between w:val="single" w:color="auto" w:sz="4" w:space="0"/>
        </w:pBdr>
        <w:adjustRightInd w:val="0"/>
        <w:snapToGrid w:val="0"/>
        <w:spacing w:line="560" w:lineRule="exact"/>
        <w:ind w:firstLine="280" w:firstLineChars="100"/>
        <w:rPr>
          <w:rFonts w:eastAsia="仿宋_GB2312"/>
          <w:sz w:val="28"/>
          <w:szCs w:val="28"/>
        </w:rPr>
      </w:pPr>
    </w:p>
    <w:sectPr>
      <w:headerReference r:id="rId5" w:type="default"/>
      <w:footerReference r:id="rId6" w:type="default"/>
      <w:footerReference r:id="rId7" w:type="even"/>
      <w:pgSz w:w="11906" w:h="16838"/>
      <w:pgMar w:top="1531" w:right="1531" w:bottom="1134" w:left="1531"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9D54">
    <w:pPr>
      <w:pStyle w:val="11"/>
      <w:jc w:val="right"/>
      <w:rPr>
        <w:rFonts w:ascii="宋体" w:hAnsi="宋体"/>
        <w:sz w:val="24"/>
        <w:szCs w:val="24"/>
      </w:rPr>
    </w:pPr>
    <w:r>
      <w:rPr>
        <w:sz w:val="24"/>
      </w:rPr>
      <w:pict>
        <v:shape id="_x0000_s4103" o:spid="_x0000_s410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0EBD327B">
                <w:pPr>
                  <w:pStyle w:val="1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w:r>
  </w:p>
  <w:p w14:paraId="6CA2CBA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BB0E">
    <w:pPr>
      <w:pStyle w:val="11"/>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18</w:t>
    </w:r>
    <w:r>
      <w:rPr>
        <w:rFonts w:ascii="宋体" w:hAnsi="宋体"/>
        <w:sz w:val="24"/>
        <w:szCs w:val="24"/>
      </w:rPr>
      <w:fldChar w:fldCharType="end"/>
    </w:r>
    <w:r>
      <w:rPr>
        <w:rFonts w:hint="eastAsia" w:ascii="宋体" w:hAnsi="宋体"/>
        <w:sz w:val="24"/>
        <w:szCs w:val="24"/>
      </w:rPr>
      <w:t>—</w:t>
    </w:r>
  </w:p>
  <w:p w14:paraId="196155B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7668">
    <w:pPr>
      <w:pStyle w:val="11"/>
      <w:jc w:val="right"/>
    </w:pPr>
    <w:r>
      <w:pict>
        <v:shape id="_x0000_s4101" o:spid="_x0000_s410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147462455"/>
                </w:sdtPr>
                <w:sdtContent>
                  <w:p w14:paraId="1E1A89E8">
                    <w:pPr>
                      <w:pStyle w:val="11"/>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14:paraId="123E2674"/>
            </w:txbxContent>
          </v:textbox>
        </v:shape>
      </w:pict>
    </w:r>
  </w:p>
  <w:p w14:paraId="0656D416">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3DC8">
    <w:pPr>
      <w:pStyle w:val="11"/>
    </w:pPr>
    <w:r>
      <w:pict>
        <v:shape id="_x0000_s4102" o:spid="_x0000_s410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147454743"/>
                </w:sdtPr>
                <w:sdtContent>
                  <w:p w14:paraId="7A519C8E">
                    <w:pPr>
                      <w:pStyle w:val="11"/>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p>
                </w:sdtContent>
              </w:sdt>
              <w:p w14:paraId="11FC6C79"/>
            </w:txbxContent>
          </v:textbox>
        </v:shape>
      </w:pict>
    </w:r>
  </w:p>
  <w:p w14:paraId="4B0F3D46">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C029">
    <w:pPr>
      <w:tabs>
        <w:tab w:val="left" w:pos="16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14E6"/>
    <w:rsid w:val="00001450"/>
    <w:rsid w:val="00002FA0"/>
    <w:rsid w:val="000059DD"/>
    <w:rsid w:val="0001219A"/>
    <w:rsid w:val="00014FEF"/>
    <w:rsid w:val="0001513D"/>
    <w:rsid w:val="00015C95"/>
    <w:rsid w:val="00017E95"/>
    <w:rsid w:val="00020EC7"/>
    <w:rsid w:val="00022884"/>
    <w:rsid w:val="00022D14"/>
    <w:rsid w:val="00024D32"/>
    <w:rsid w:val="00025B9A"/>
    <w:rsid w:val="00025E86"/>
    <w:rsid w:val="00030035"/>
    <w:rsid w:val="000308A7"/>
    <w:rsid w:val="00031003"/>
    <w:rsid w:val="00031390"/>
    <w:rsid w:val="00035225"/>
    <w:rsid w:val="000354D5"/>
    <w:rsid w:val="00040B50"/>
    <w:rsid w:val="0004116E"/>
    <w:rsid w:val="00043469"/>
    <w:rsid w:val="000477A2"/>
    <w:rsid w:val="00053796"/>
    <w:rsid w:val="00057361"/>
    <w:rsid w:val="00061DC1"/>
    <w:rsid w:val="00063979"/>
    <w:rsid w:val="00066E65"/>
    <w:rsid w:val="00067ECA"/>
    <w:rsid w:val="00080E7A"/>
    <w:rsid w:val="00082BCA"/>
    <w:rsid w:val="00083D8E"/>
    <w:rsid w:val="00083E7E"/>
    <w:rsid w:val="00086890"/>
    <w:rsid w:val="00087816"/>
    <w:rsid w:val="00090481"/>
    <w:rsid w:val="000919B4"/>
    <w:rsid w:val="000920B5"/>
    <w:rsid w:val="00093C71"/>
    <w:rsid w:val="00094E54"/>
    <w:rsid w:val="000A12AF"/>
    <w:rsid w:val="000A16A4"/>
    <w:rsid w:val="000A4AD0"/>
    <w:rsid w:val="000A5182"/>
    <w:rsid w:val="000A68B4"/>
    <w:rsid w:val="000B0F8E"/>
    <w:rsid w:val="000B335D"/>
    <w:rsid w:val="000B3FC7"/>
    <w:rsid w:val="000B7B65"/>
    <w:rsid w:val="000C1D57"/>
    <w:rsid w:val="000C4211"/>
    <w:rsid w:val="000C69DC"/>
    <w:rsid w:val="000C7F09"/>
    <w:rsid w:val="000D490D"/>
    <w:rsid w:val="000D7F91"/>
    <w:rsid w:val="000E1205"/>
    <w:rsid w:val="000E24C8"/>
    <w:rsid w:val="000E2A50"/>
    <w:rsid w:val="000E45E1"/>
    <w:rsid w:val="000E50B3"/>
    <w:rsid w:val="000E54B2"/>
    <w:rsid w:val="000E6B0C"/>
    <w:rsid w:val="00102AAF"/>
    <w:rsid w:val="00106EE6"/>
    <w:rsid w:val="00111F9C"/>
    <w:rsid w:val="00112062"/>
    <w:rsid w:val="00113302"/>
    <w:rsid w:val="001157E6"/>
    <w:rsid w:val="00116662"/>
    <w:rsid w:val="001213D6"/>
    <w:rsid w:val="001250CE"/>
    <w:rsid w:val="001270B4"/>
    <w:rsid w:val="001277C2"/>
    <w:rsid w:val="0013124B"/>
    <w:rsid w:val="00131548"/>
    <w:rsid w:val="001329F8"/>
    <w:rsid w:val="00133575"/>
    <w:rsid w:val="001344F7"/>
    <w:rsid w:val="001357FE"/>
    <w:rsid w:val="00140278"/>
    <w:rsid w:val="001402B2"/>
    <w:rsid w:val="00141649"/>
    <w:rsid w:val="00142C3C"/>
    <w:rsid w:val="00143FBB"/>
    <w:rsid w:val="0014724E"/>
    <w:rsid w:val="00154557"/>
    <w:rsid w:val="00154836"/>
    <w:rsid w:val="00154A96"/>
    <w:rsid w:val="00155656"/>
    <w:rsid w:val="0015667D"/>
    <w:rsid w:val="00156A84"/>
    <w:rsid w:val="00161765"/>
    <w:rsid w:val="0016594F"/>
    <w:rsid w:val="00165992"/>
    <w:rsid w:val="001706AD"/>
    <w:rsid w:val="00171168"/>
    <w:rsid w:val="001724A8"/>
    <w:rsid w:val="00173C7E"/>
    <w:rsid w:val="00184466"/>
    <w:rsid w:val="00184B31"/>
    <w:rsid w:val="001859D0"/>
    <w:rsid w:val="00186A74"/>
    <w:rsid w:val="0018760E"/>
    <w:rsid w:val="00192566"/>
    <w:rsid w:val="0019435D"/>
    <w:rsid w:val="00195253"/>
    <w:rsid w:val="0019694B"/>
    <w:rsid w:val="001A112B"/>
    <w:rsid w:val="001A1C8D"/>
    <w:rsid w:val="001A5930"/>
    <w:rsid w:val="001A7B96"/>
    <w:rsid w:val="001B398C"/>
    <w:rsid w:val="001B53F2"/>
    <w:rsid w:val="001B5E9E"/>
    <w:rsid w:val="001C2200"/>
    <w:rsid w:val="001C2B12"/>
    <w:rsid w:val="001C4639"/>
    <w:rsid w:val="001C549A"/>
    <w:rsid w:val="001C5C54"/>
    <w:rsid w:val="001C6765"/>
    <w:rsid w:val="001C7434"/>
    <w:rsid w:val="001D5B7A"/>
    <w:rsid w:val="001D6695"/>
    <w:rsid w:val="001D7561"/>
    <w:rsid w:val="001D7723"/>
    <w:rsid w:val="001D7BED"/>
    <w:rsid w:val="001E3E85"/>
    <w:rsid w:val="001E3FF6"/>
    <w:rsid w:val="001E615C"/>
    <w:rsid w:val="001E6C3D"/>
    <w:rsid w:val="001E72C2"/>
    <w:rsid w:val="001E73BB"/>
    <w:rsid w:val="001F0EA0"/>
    <w:rsid w:val="001F2A43"/>
    <w:rsid w:val="001F357E"/>
    <w:rsid w:val="001F3C36"/>
    <w:rsid w:val="001F45A8"/>
    <w:rsid w:val="001F53E9"/>
    <w:rsid w:val="002005C4"/>
    <w:rsid w:val="00203BB2"/>
    <w:rsid w:val="00203D41"/>
    <w:rsid w:val="002054BD"/>
    <w:rsid w:val="0020563A"/>
    <w:rsid w:val="00206A07"/>
    <w:rsid w:val="00212B4C"/>
    <w:rsid w:val="00212DCD"/>
    <w:rsid w:val="0021327C"/>
    <w:rsid w:val="0021410C"/>
    <w:rsid w:val="00216B44"/>
    <w:rsid w:val="00217488"/>
    <w:rsid w:val="00217739"/>
    <w:rsid w:val="00220521"/>
    <w:rsid w:val="0022291E"/>
    <w:rsid w:val="00223B3D"/>
    <w:rsid w:val="0022467F"/>
    <w:rsid w:val="002246DC"/>
    <w:rsid w:val="0022486C"/>
    <w:rsid w:val="00226E2D"/>
    <w:rsid w:val="00230E99"/>
    <w:rsid w:val="002328C3"/>
    <w:rsid w:val="00232A4B"/>
    <w:rsid w:val="002362DD"/>
    <w:rsid w:val="00240DA7"/>
    <w:rsid w:val="00241758"/>
    <w:rsid w:val="00244327"/>
    <w:rsid w:val="0024443F"/>
    <w:rsid w:val="0024774C"/>
    <w:rsid w:val="00247D75"/>
    <w:rsid w:val="00252DF5"/>
    <w:rsid w:val="00252F8A"/>
    <w:rsid w:val="0025371D"/>
    <w:rsid w:val="00256C32"/>
    <w:rsid w:val="00256DBA"/>
    <w:rsid w:val="0025769D"/>
    <w:rsid w:val="002620EC"/>
    <w:rsid w:val="00263A2C"/>
    <w:rsid w:val="00267B37"/>
    <w:rsid w:val="0027195B"/>
    <w:rsid w:val="0027334D"/>
    <w:rsid w:val="002767EE"/>
    <w:rsid w:val="002821F9"/>
    <w:rsid w:val="00284B41"/>
    <w:rsid w:val="00285F34"/>
    <w:rsid w:val="00287260"/>
    <w:rsid w:val="00287EE8"/>
    <w:rsid w:val="0029045C"/>
    <w:rsid w:val="00293F00"/>
    <w:rsid w:val="002953B9"/>
    <w:rsid w:val="00297FD2"/>
    <w:rsid w:val="002A0459"/>
    <w:rsid w:val="002A064C"/>
    <w:rsid w:val="002A4B52"/>
    <w:rsid w:val="002A754A"/>
    <w:rsid w:val="002A77F4"/>
    <w:rsid w:val="002A7FE6"/>
    <w:rsid w:val="002B0CB3"/>
    <w:rsid w:val="002B3956"/>
    <w:rsid w:val="002B495D"/>
    <w:rsid w:val="002B5E09"/>
    <w:rsid w:val="002B7FED"/>
    <w:rsid w:val="002C2394"/>
    <w:rsid w:val="002C332E"/>
    <w:rsid w:val="002C3BC5"/>
    <w:rsid w:val="002C5BF8"/>
    <w:rsid w:val="002C5CD4"/>
    <w:rsid w:val="002C7159"/>
    <w:rsid w:val="002C7D99"/>
    <w:rsid w:val="002D10AD"/>
    <w:rsid w:val="002D1562"/>
    <w:rsid w:val="002D1FA6"/>
    <w:rsid w:val="002D4BAA"/>
    <w:rsid w:val="002E03D2"/>
    <w:rsid w:val="002E1B1A"/>
    <w:rsid w:val="002E2D59"/>
    <w:rsid w:val="002E2F07"/>
    <w:rsid w:val="002E576E"/>
    <w:rsid w:val="002E6381"/>
    <w:rsid w:val="002E712F"/>
    <w:rsid w:val="002E7C1C"/>
    <w:rsid w:val="002F23F0"/>
    <w:rsid w:val="002F3E6E"/>
    <w:rsid w:val="002F7A17"/>
    <w:rsid w:val="00304F35"/>
    <w:rsid w:val="00306798"/>
    <w:rsid w:val="00307762"/>
    <w:rsid w:val="00307FDA"/>
    <w:rsid w:val="003117E9"/>
    <w:rsid w:val="00312541"/>
    <w:rsid w:val="0031330D"/>
    <w:rsid w:val="0032018F"/>
    <w:rsid w:val="00320D2F"/>
    <w:rsid w:val="0032393A"/>
    <w:rsid w:val="00323ACC"/>
    <w:rsid w:val="0033155F"/>
    <w:rsid w:val="00331EC9"/>
    <w:rsid w:val="00334086"/>
    <w:rsid w:val="003369C3"/>
    <w:rsid w:val="00337D69"/>
    <w:rsid w:val="0034128B"/>
    <w:rsid w:val="00343DB6"/>
    <w:rsid w:val="00343F76"/>
    <w:rsid w:val="00344C15"/>
    <w:rsid w:val="00344D77"/>
    <w:rsid w:val="00346425"/>
    <w:rsid w:val="00346D82"/>
    <w:rsid w:val="00347944"/>
    <w:rsid w:val="00347B77"/>
    <w:rsid w:val="00347CD7"/>
    <w:rsid w:val="0035012B"/>
    <w:rsid w:val="00351794"/>
    <w:rsid w:val="00353488"/>
    <w:rsid w:val="00356060"/>
    <w:rsid w:val="0035627E"/>
    <w:rsid w:val="0036171C"/>
    <w:rsid w:val="00363125"/>
    <w:rsid w:val="00364728"/>
    <w:rsid w:val="00365BE6"/>
    <w:rsid w:val="0036674C"/>
    <w:rsid w:val="00367A69"/>
    <w:rsid w:val="0037072B"/>
    <w:rsid w:val="00370A51"/>
    <w:rsid w:val="003716AD"/>
    <w:rsid w:val="003728C4"/>
    <w:rsid w:val="003740AE"/>
    <w:rsid w:val="0037475E"/>
    <w:rsid w:val="00375632"/>
    <w:rsid w:val="003766AB"/>
    <w:rsid w:val="00382F7F"/>
    <w:rsid w:val="0038388F"/>
    <w:rsid w:val="0038619B"/>
    <w:rsid w:val="0039114F"/>
    <w:rsid w:val="00394BBD"/>
    <w:rsid w:val="00395552"/>
    <w:rsid w:val="003A26EC"/>
    <w:rsid w:val="003A28E9"/>
    <w:rsid w:val="003A2DE5"/>
    <w:rsid w:val="003A53F5"/>
    <w:rsid w:val="003B2769"/>
    <w:rsid w:val="003B33C5"/>
    <w:rsid w:val="003B37BB"/>
    <w:rsid w:val="003B5CEE"/>
    <w:rsid w:val="003B7C03"/>
    <w:rsid w:val="003C45A5"/>
    <w:rsid w:val="003C510C"/>
    <w:rsid w:val="003C5121"/>
    <w:rsid w:val="003E35DA"/>
    <w:rsid w:val="003E5755"/>
    <w:rsid w:val="003F0064"/>
    <w:rsid w:val="003F0834"/>
    <w:rsid w:val="003F2F70"/>
    <w:rsid w:val="003F3552"/>
    <w:rsid w:val="003F42BD"/>
    <w:rsid w:val="003F4871"/>
    <w:rsid w:val="003F7E48"/>
    <w:rsid w:val="004008A9"/>
    <w:rsid w:val="004012E1"/>
    <w:rsid w:val="00403397"/>
    <w:rsid w:val="00403B70"/>
    <w:rsid w:val="00403F82"/>
    <w:rsid w:val="0040450A"/>
    <w:rsid w:val="00404663"/>
    <w:rsid w:val="00407543"/>
    <w:rsid w:val="004077BF"/>
    <w:rsid w:val="00411969"/>
    <w:rsid w:val="004125D4"/>
    <w:rsid w:val="00416C96"/>
    <w:rsid w:val="00417961"/>
    <w:rsid w:val="00421FD2"/>
    <w:rsid w:val="0042258E"/>
    <w:rsid w:val="004228F8"/>
    <w:rsid w:val="00425E52"/>
    <w:rsid w:val="00431101"/>
    <w:rsid w:val="00431CB8"/>
    <w:rsid w:val="00431D06"/>
    <w:rsid w:val="00432263"/>
    <w:rsid w:val="00432D08"/>
    <w:rsid w:val="0043340F"/>
    <w:rsid w:val="00434F61"/>
    <w:rsid w:val="0043579E"/>
    <w:rsid w:val="004364E5"/>
    <w:rsid w:val="00437D2B"/>
    <w:rsid w:val="00441ADE"/>
    <w:rsid w:val="004421AB"/>
    <w:rsid w:val="00442DE7"/>
    <w:rsid w:val="00442DE9"/>
    <w:rsid w:val="00445B67"/>
    <w:rsid w:val="00446CA8"/>
    <w:rsid w:val="00446D94"/>
    <w:rsid w:val="004477E3"/>
    <w:rsid w:val="00447A91"/>
    <w:rsid w:val="00451BF5"/>
    <w:rsid w:val="00454A99"/>
    <w:rsid w:val="004579EC"/>
    <w:rsid w:val="00462A7E"/>
    <w:rsid w:val="004643E5"/>
    <w:rsid w:val="00467F8E"/>
    <w:rsid w:val="004736DA"/>
    <w:rsid w:val="004749C1"/>
    <w:rsid w:val="0047643D"/>
    <w:rsid w:val="00481452"/>
    <w:rsid w:val="0048523D"/>
    <w:rsid w:val="00486C2C"/>
    <w:rsid w:val="0048781C"/>
    <w:rsid w:val="004900FF"/>
    <w:rsid w:val="00491A9F"/>
    <w:rsid w:val="00493EEA"/>
    <w:rsid w:val="004957ED"/>
    <w:rsid w:val="0049595D"/>
    <w:rsid w:val="00497970"/>
    <w:rsid w:val="004A0BCA"/>
    <w:rsid w:val="004A17E3"/>
    <w:rsid w:val="004A1EDF"/>
    <w:rsid w:val="004A2383"/>
    <w:rsid w:val="004A5CA9"/>
    <w:rsid w:val="004A6009"/>
    <w:rsid w:val="004A61C1"/>
    <w:rsid w:val="004A6C79"/>
    <w:rsid w:val="004A6DA6"/>
    <w:rsid w:val="004A6EDE"/>
    <w:rsid w:val="004B00DD"/>
    <w:rsid w:val="004B2FF5"/>
    <w:rsid w:val="004B34A6"/>
    <w:rsid w:val="004B4ADA"/>
    <w:rsid w:val="004B4FF7"/>
    <w:rsid w:val="004B519E"/>
    <w:rsid w:val="004B5F00"/>
    <w:rsid w:val="004B78DC"/>
    <w:rsid w:val="004C3491"/>
    <w:rsid w:val="004C350F"/>
    <w:rsid w:val="004C61A3"/>
    <w:rsid w:val="004C6B02"/>
    <w:rsid w:val="004C6D02"/>
    <w:rsid w:val="004C766B"/>
    <w:rsid w:val="004D2E84"/>
    <w:rsid w:val="004D39F8"/>
    <w:rsid w:val="004D3A45"/>
    <w:rsid w:val="004D5D2E"/>
    <w:rsid w:val="004D60DE"/>
    <w:rsid w:val="004D67A5"/>
    <w:rsid w:val="004D7949"/>
    <w:rsid w:val="004E0658"/>
    <w:rsid w:val="004E11C2"/>
    <w:rsid w:val="004E1BA2"/>
    <w:rsid w:val="004E2430"/>
    <w:rsid w:val="004E3495"/>
    <w:rsid w:val="004E3D81"/>
    <w:rsid w:val="004E7091"/>
    <w:rsid w:val="004E71FE"/>
    <w:rsid w:val="004F14BE"/>
    <w:rsid w:val="004F1E9B"/>
    <w:rsid w:val="004F5F14"/>
    <w:rsid w:val="00500C54"/>
    <w:rsid w:val="00502F99"/>
    <w:rsid w:val="00503FC3"/>
    <w:rsid w:val="00504189"/>
    <w:rsid w:val="00507C1E"/>
    <w:rsid w:val="00510D6F"/>
    <w:rsid w:val="00511B5E"/>
    <w:rsid w:val="00513E4F"/>
    <w:rsid w:val="00515F2D"/>
    <w:rsid w:val="00516DAC"/>
    <w:rsid w:val="00517D31"/>
    <w:rsid w:val="00517DA7"/>
    <w:rsid w:val="005200DE"/>
    <w:rsid w:val="00525FBF"/>
    <w:rsid w:val="00526A40"/>
    <w:rsid w:val="00533531"/>
    <w:rsid w:val="00535AE7"/>
    <w:rsid w:val="00537493"/>
    <w:rsid w:val="00537FED"/>
    <w:rsid w:val="00540121"/>
    <w:rsid w:val="0054715C"/>
    <w:rsid w:val="00547F98"/>
    <w:rsid w:val="00550E04"/>
    <w:rsid w:val="005532D6"/>
    <w:rsid w:val="00555914"/>
    <w:rsid w:val="0056135C"/>
    <w:rsid w:val="00561632"/>
    <w:rsid w:val="00562ACB"/>
    <w:rsid w:val="005633AC"/>
    <w:rsid w:val="00563618"/>
    <w:rsid w:val="00566EBC"/>
    <w:rsid w:val="005714B5"/>
    <w:rsid w:val="00575E39"/>
    <w:rsid w:val="0057631B"/>
    <w:rsid w:val="00576FA8"/>
    <w:rsid w:val="0058346E"/>
    <w:rsid w:val="00583F47"/>
    <w:rsid w:val="00586043"/>
    <w:rsid w:val="005A6C22"/>
    <w:rsid w:val="005A7D13"/>
    <w:rsid w:val="005B118E"/>
    <w:rsid w:val="005B4923"/>
    <w:rsid w:val="005B5034"/>
    <w:rsid w:val="005B5CBA"/>
    <w:rsid w:val="005B72A6"/>
    <w:rsid w:val="005C21D4"/>
    <w:rsid w:val="005C29E4"/>
    <w:rsid w:val="005C475F"/>
    <w:rsid w:val="005C5930"/>
    <w:rsid w:val="005D07AE"/>
    <w:rsid w:val="005D315F"/>
    <w:rsid w:val="005D3CC6"/>
    <w:rsid w:val="005D5AA3"/>
    <w:rsid w:val="005D6C67"/>
    <w:rsid w:val="005D6FC5"/>
    <w:rsid w:val="005E0D2D"/>
    <w:rsid w:val="005E27F7"/>
    <w:rsid w:val="005F0F70"/>
    <w:rsid w:val="005F364B"/>
    <w:rsid w:val="005F4513"/>
    <w:rsid w:val="005F4E1C"/>
    <w:rsid w:val="005F4E1E"/>
    <w:rsid w:val="005F54C3"/>
    <w:rsid w:val="005F5C76"/>
    <w:rsid w:val="005F61C1"/>
    <w:rsid w:val="005F766E"/>
    <w:rsid w:val="005F767B"/>
    <w:rsid w:val="005F7D02"/>
    <w:rsid w:val="00601696"/>
    <w:rsid w:val="0060263B"/>
    <w:rsid w:val="00605338"/>
    <w:rsid w:val="00606936"/>
    <w:rsid w:val="00606A9D"/>
    <w:rsid w:val="00607CF7"/>
    <w:rsid w:val="00614D3B"/>
    <w:rsid w:val="0061612E"/>
    <w:rsid w:val="00617B17"/>
    <w:rsid w:val="006200F0"/>
    <w:rsid w:val="006225AC"/>
    <w:rsid w:val="00624538"/>
    <w:rsid w:val="0062729D"/>
    <w:rsid w:val="00634BD1"/>
    <w:rsid w:val="00640F57"/>
    <w:rsid w:val="006417B2"/>
    <w:rsid w:val="0064294E"/>
    <w:rsid w:val="00643021"/>
    <w:rsid w:val="00652EEE"/>
    <w:rsid w:val="00655971"/>
    <w:rsid w:val="00656096"/>
    <w:rsid w:val="00656781"/>
    <w:rsid w:val="006578BD"/>
    <w:rsid w:val="006614CB"/>
    <w:rsid w:val="00661DB1"/>
    <w:rsid w:val="00671A13"/>
    <w:rsid w:val="00672859"/>
    <w:rsid w:val="00673487"/>
    <w:rsid w:val="00674605"/>
    <w:rsid w:val="00674AEF"/>
    <w:rsid w:val="006762E6"/>
    <w:rsid w:val="0067700B"/>
    <w:rsid w:val="00680C48"/>
    <w:rsid w:val="006813E3"/>
    <w:rsid w:val="00682244"/>
    <w:rsid w:val="00682400"/>
    <w:rsid w:val="006830AB"/>
    <w:rsid w:val="006852F2"/>
    <w:rsid w:val="00686011"/>
    <w:rsid w:val="00687752"/>
    <w:rsid w:val="00691C24"/>
    <w:rsid w:val="0069251E"/>
    <w:rsid w:val="0069296F"/>
    <w:rsid w:val="006940F9"/>
    <w:rsid w:val="00694E34"/>
    <w:rsid w:val="00694F96"/>
    <w:rsid w:val="006957F1"/>
    <w:rsid w:val="006965E8"/>
    <w:rsid w:val="00697181"/>
    <w:rsid w:val="00697A48"/>
    <w:rsid w:val="006A1B05"/>
    <w:rsid w:val="006A2AD6"/>
    <w:rsid w:val="006A30EE"/>
    <w:rsid w:val="006A3606"/>
    <w:rsid w:val="006A72AF"/>
    <w:rsid w:val="006A7D0C"/>
    <w:rsid w:val="006B3072"/>
    <w:rsid w:val="006B3B49"/>
    <w:rsid w:val="006B3E8B"/>
    <w:rsid w:val="006B6569"/>
    <w:rsid w:val="006C2710"/>
    <w:rsid w:val="006C5942"/>
    <w:rsid w:val="006D602F"/>
    <w:rsid w:val="006E02DF"/>
    <w:rsid w:val="006E12AF"/>
    <w:rsid w:val="006E16F5"/>
    <w:rsid w:val="006E2D13"/>
    <w:rsid w:val="006E61B4"/>
    <w:rsid w:val="006E731A"/>
    <w:rsid w:val="006F2E45"/>
    <w:rsid w:val="006F2F80"/>
    <w:rsid w:val="006F352E"/>
    <w:rsid w:val="00700D22"/>
    <w:rsid w:val="00704486"/>
    <w:rsid w:val="00705391"/>
    <w:rsid w:val="00706681"/>
    <w:rsid w:val="007070D0"/>
    <w:rsid w:val="007108E8"/>
    <w:rsid w:val="0071169B"/>
    <w:rsid w:val="00723B89"/>
    <w:rsid w:val="00723E7D"/>
    <w:rsid w:val="007256D6"/>
    <w:rsid w:val="00725AE2"/>
    <w:rsid w:val="007279F7"/>
    <w:rsid w:val="00727EBA"/>
    <w:rsid w:val="00730C4E"/>
    <w:rsid w:val="00736CDF"/>
    <w:rsid w:val="007407D7"/>
    <w:rsid w:val="007444C0"/>
    <w:rsid w:val="00744C65"/>
    <w:rsid w:val="00745602"/>
    <w:rsid w:val="00746105"/>
    <w:rsid w:val="0074728F"/>
    <w:rsid w:val="0075195E"/>
    <w:rsid w:val="00753DC1"/>
    <w:rsid w:val="0075445E"/>
    <w:rsid w:val="00756284"/>
    <w:rsid w:val="00756334"/>
    <w:rsid w:val="00757766"/>
    <w:rsid w:val="007603C9"/>
    <w:rsid w:val="00760CEF"/>
    <w:rsid w:val="00763D8D"/>
    <w:rsid w:val="00765853"/>
    <w:rsid w:val="00767FB1"/>
    <w:rsid w:val="007704D7"/>
    <w:rsid w:val="0077521E"/>
    <w:rsid w:val="007752D3"/>
    <w:rsid w:val="00776C6B"/>
    <w:rsid w:val="00776DDB"/>
    <w:rsid w:val="00782D2C"/>
    <w:rsid w:val="00782D9D"/>
    <w:rsid w:val="007831D8"/>
    <w:rsid w:val="00794884"/>
    <w:rsid w:val="00794921"/>
    <w:rsid w:val="007A0153"/>
    <w:rsid w:val="007A1F1B"/>
    <w:rsid w:val="007A40FA"/>
    <w:rsid w:val="007A746E"/>
    <w:rsid w:val="007A7D17"/>
    <w:rsid w:val="007B153E"/>
    <w:rsid w:val="007B369A"/>
    <w:rsid w:val="007B3B12"/>
    <w:rsid w:val="007B3C85"/>
    <w:rsid w:val="007B6019"/>
    <w:rsid w:val="007C2069"/>
    <w:rsid w:val="007C43F9"/>
    <w:rsid w:val="007C51CB"/>
    <w:rsid w:val="007C55B1"/>
    <w:rsid w:val="007C6DBC"/>
    <w:rsid w:val="007C76EE"/>
    <w:rsid w:val="007D7352"/>
    <w:rsid w:val="007E11CB"/>
    <w:rsid w:val="007E2B77"/>
    <w:rsid w:val="007E2D89"/>
    <w:rsid w:val="007F00E6"/>
    <w:rsid w:val="007F0E5A"/>
    <w:rsid w:val="007F26DF"/>
    <w:rsid w:val="007F55E0"/>
    <w:rsid w:val="00800AE3"/>
    <w:rsid w:val="00800FFF"/>
    <w:rsid w:val="008032AA"/>
    <w:rsid w:val="008034A9"/>
    <w:rsid w:val="00810683"/>
    <w:rsid w:val="00812DA0"/>
    <w:rsid w:val="00814A30"/>
    <w:rsid w:val="008153DF"/>
    <w:rsid w:val="0082082A"/>
    <w:rsid w:val="00823262"/>
    <w:rsid w:val="008255A6"/>
    <w:rsid w:val="0082601F"/>
    <w:rsid w:val="008334FE"/>
    <w:rsid w:val="00833BC2"/>
    <w:rsid w:val="0083547C"/>
    <w:rsid w:val="00841403"/>
    <w:rsid w:val="00843125"/>
    <w:rsid w:val="00844ACA"/>
    <w:rsid w:val="00844C79"/>
    <w:rsid w:val="00844E27"/>
    <w:rsid w:val="00847E08"/>
    <w:rsid w:val="00853FBA"/>
    <w:rsid w:val="00855883"/>
    <w:rsid w:val="00857DC2"/>
    <w:rsid w:val="00857F29"/>
    <w:rsid w:val="00860825"/>
    <w:rsid w:val="00863937"/>
    <w:rsid w:val="008701DD"/>
    <w:rsid w:val="00882AF8"/>
    <w:rsid w:val="008854A0"/>
    <w:rsid w:val="00885C0D"/>
    <w:rsid w:val="00886E8F"/>
    <w:rsid w:val="0089033F"/>
    <w:rsid w:val="00891CC1"/>
    <w:rsid w:val="008931C7"/>
    <w:rsid w:val="00893C89"/>
    <w:rsid w:val="00897993"/>
    <w:rsid w:val="008A133D"/>
    <w:rsid w:val="008A19C5"/>
    <w:rsid w:val="008A4A8F"/>
    <w:rsid w:val="008A7D0C"/>
    <w:rsid w:val="008B065F"/>
    <w:rsid w:val="008B4258"/>
    <w:rsid w:val="008B4C93"/>
    <w:rsid w:val="008B628F"/>
    <w:rsid w:val="008B6BC6"/>
    <w:rsid w:val="008C3AF4"/>
    <w:rsid w:val="008C5075"/>
    <w:rsid w:val="008D0384"/>
    <w:rsid w:val="008D0A41"/>
    <w:rsid w:val="008D2B27"/>
    <w:rsid w:val="008D35DB"/>
    <w:rsid w:val="008D42D5"/>
    <w:rsid w:val="008D6DE7"/>
    <w:rsid w:val="008D7A7F"/>
    <w:rsid w:val="008E1A6C"/>
    <w:rsid w:val="008E385E"/>
    <w:rsid w:val="008E39BF"/>
    <w:rsid w:val="008E442C"/>
    <w:rsid w:val="008E4851"/>
    <w:rsid w:val="008E7319"/>
    <w:rsid w:val="008E7AB6"/>
    <w:rsid w:val="008F498D"/>
    <w:rsid w:val="008F5176"/>
    <w:rsid w:val="008F7B0D"/>
    <w:rsid w:val="009015D2"/>
    <w:rsid w:val="0090467B"/>
    <w:rsid w:val="00904C00"/>
    <w:rsid w:val="009106CB"/>
    <w:rsid w:val="00911A67"/>
    <w:rsid w:val="00911FAD"/>
    <w:rsid w:val="00913108"/>
    <w:rsid w:val="0091417A"/>
    <w:rsid w:val="00922791"/>
    <w:rsid w:val="00924F90"/>
    <w:rsid w:val="00925578"/>
    <w:rsid w:val="00927B0E"/>
    <w:rsid w:val="009317C0"/>
    <w:rsid w:val="00933AAE"/>
    <w:rsid w:val="00934616"/>
    <w:rsid w:val="00936535"/>
    <w:rsid w:val="00941B3F"/>
    <w:rsid w:val="00942CB0"/>
    <w:rsid w:val="009436D5"/>
    <w:rsid w:val="00943FF8"/>
    <w:rsid w:val="0094461F"/>
    <w:rsid w:val="00944A27"/>
    <w:rsid w:val="00944C5C"/>
    <w:rsid w:val="0095181E"/>
    <w:rsid w:val="00952D07"/>
    <w:rsid w:val="00955DEF"/>
    <w:rsid w:val="00956B2D"/>
    <w:rsid w:val="009579BA"/>
    <w:rsid w:val="00960A7B"/>
    <w:rsid w:val="00961469"/>
    <w:rsid w:val="00964BAE"/>
    <w:rsid w:val="0096553B"/>
    <w:rsid w:val="00971D2B"/>
    <w:rsid w:val="00972C15"/>
    <w:rsid w:val="00973D6E"/>
    <w:rsid w:val="009750C9"/>
    <w:rsid w:val="00975859"/>
    <w:rsid w:val="0097726A"/>
    <w:rsid w:val="00984A06"/>
    <w:rsid w:val="009865FE"/>
    <w:rsid w:val="00986663"/>
    <w:rsid w:val="009877C6"/>
    <w:rsid w:val="0098797B"/>
    <w:rsid w:val="00991070"/>
    <w:rsid w:val="00992007"/>
    <w:rsid w:val="0099739B"/>
    <w:rsid w:val="009A0663"/>
    <w:rsid w:val="009A455D"/>
    <w:rsid w:val="009A4B69"/>
    <w:rsid w:val="009A7FC2"/>
    <w:rsid w:val="009B3794"/>
    <w:rsid w:val="009B3B22"/>
    <w:rsid w:val="009B4BC9"/>
    <w:rsid w:val="009C35E4"/>
    <w:rsid w:val="009C4E83"/>
    <w:rsid w:val="009C5BE8"/>
    <w:rsid w:val="009C70BC"/>
    <w:rsid w:val="009D0835"/>
    <w:rsid w:val="009D39F1"/>
    <w:rsid w:val="009D72DC"/>
    <w:rsid w:val="009E0016"/>
    <w:rsid w:val="009E1E4D"/>
    <w:rsid w:val="009E4752"/>
    <w:rsid w:val="009E5049"/>
    <w:rsid w:val="009E6EEB"/>
    <w:rsid w:val="009E756E"/>
    <w:rsid w:val="009F14E6"/>
    <w:rsid w:val="009F3731"/>
    <w:rsid w:val="009F7924"/>
    <w:rsid w:val="00A0174F"/>
    <w:rsid w:val="00A02180"/>
    <w:rsid w:val="00A03AED"/>
    <w:rsid w:val="00A05978"/>
    <w:rsid w:val="00A078DE"/>
    <w:rsid w:val="00A1188F"/>
    <w:rsid w:val="00A136F0"/>
    <w:rsid w:val="00A203C7"/>
    <w:rsid w:val="00A20DAC"/>
    <w:rsid w:val="00A226C7"/>
    <w:rsid w:val="00A22950"/>
    <w:rsid w:val="00A22E19"/>
    <w:rsid w:val="00A25304"/>
    <w:rsid w:val="00A26035"/>
    <w:rsid w:val="00A26AFA"/>
    <w:rsid w:val="00A27505"/>
    <w:rsid w:val="00A30CC4"/>
    <w:rsid w:val="00A31BA0"/>
    <w:rsid w:val="00A32319"/>
    <w:rsid w:val="00A40CF8"/>
    <w:rsid w:val="00A420D3"/>
    <w:rsid w:val="00A47395"/>
    <w:rsid w:val="00A47BF4"/>
    <w:rsid w:val="00A50BEE"/>
    <w:rsid w:val="00A50F55"/>
    <w:rsid w:val="00A53F96"/>
    <w:rsid w:val="00A5460E"/>
    <w:rsid w:val="00A57622"/>
    <w:rsid w:val="00A60681"/>
    <w:rsid w:val="00A62BED"/>
    <w:rsid w:val="00A66FE3"/>
    <w:rsid w:val="00A67635"/>
    <w:rsid w:val="00A67DCE"/>
    <w:rsid w:val="00A715D5"/>
    <w:rsid w:val="00A751F0"/>
    <w:rsid w:val="00A81508"/>
    <w:rsid w:val="00A8230C"/>
    <w:rsid w:val="00A85A26"/>
    <w:rsid w:val="00A900EB"/>
    <w:rsid w:val="00A90302"/>
    <w:rsid w:val="00A94044"/>
    <w:rsid w:val="00A94CD8"/>
    <w:rsid w:val="00A95000"/>
    <w:rsid w:val="00A95823"/>
    <w:rsid w:val="00A95B51"/>
    <w:rsid w:val="00A97E9D"/>
    <w:rsid w:val="00AA1D8B"/>
    <w:rsid w:val="00AA4527"/>
    <w:rsid w:val="00AA5178"/>
    <w:rsid w:val="00AA68E0"/>
    <w:rsid w:val="00AA6C46"/>
    <w:rsid w:val="00AB02DD"/>
    <w:rsid w:val="00AB1873"/>
    <w:rsid w:val="00AB5859"/>
    <w:rsid w:val="00AB6BE9"/>
    <w:rsid w:val="00AC4005"/>
    <w:rsid w:val="00AC67EE"/>
    <w:rsid w:val="00AD10DF"/>
    <w:rsid w:val="00AD2026"/>
    <w:rsid w:val="00AD3F66"/>
    <w:rsid w:val="00AD7738"/>
    <w:rsid w:val="00AE466A"/>
    <w:rsid w:val="00AF21C7"/>
    <w:rsid w:val="00AF5F93"/>
    <w:rsid w:val="00B0039A"/>
    <w:rsid w:val="00B01A0E"/>
    <w:rsid w:val="00B04337"/>
    <w:rsid w:val="00B07272"/>
    <w:rsid w:val="00B11D5D"/>
    <w:rsid w:val="00B12E4E"/>
    <w:rsid w:val="00B14AFD"/>
    <w:rsid w:val="00B1721D"/>
    <w:rsid w:val="00B20D1C"/>
    <w:rsid w:val="00B21877"/>
    <w:rsid w:val="00B22731"/>
    <w:rsid w:val="00B276A2"/>
    <w:rsid w:val="00B31EE1"/>
    <w:rsid w:val="00B32BD3"/>
    <w:rsid w:val="00B359A9"/>
    <w:rsid w:val="00B36970"/>
    <w:rsid w:val="00B37FB6"/>
    <w:rsid w:val="00B4222E"/>
    <w:rsid w:val="00B42294"/>
    <w:rsid w:val="00B42A69"/>
    <w:rsid w:val="00B42DBF"/>
    <w:rsid w:val="00B45281"/>
    <w:rsid w:val="00B4793D"/>
    <w:rsid w:val="00B509E4"/>
    <w:rsid w:val="00B53E5F"/>
    <w:rsid w:val="00B547A6"/>
    <w:rsid w:val="00B55692"/>
    <w:rsid w:val="00B558EA"/>
    <w:rsid w:val="00B56320"/>
    <w:rsid w:val="00B60E53"/>
    <w:rsid w:val="00B613A9"/>
    <w:rsid w:val="00B670BB"/>
    <w:rsid w:val="00B701F7"/>
    <w:rsid w:val="00B74048"/>
    <w:rsid w:val="00B76E53"/>
    <w:rsid w:val="00B77024"/>
    <w:rsid w:val="00B80CF4"/>
    <w:rsid w:val="00B80EE3"/>
    <w:rsid w:val="00B82D53"/>
    <w:rsid w:val="00B830B2"/>
    <w:rsid w:val="00B864C8"/>
    <w:rsid w:val="00B9248C"/>
    <w:rsid w:val="00B94AD7"/>
    <w:rsid w:val="00B95FF3"/>
    <w:rsid w:val="00BA1A94"/>
    <w:rsid w:val="00BA1E07"/>
    <w:rsid w:val="00BA3B76"/>
    <w:rsid w:val="00BA44C6"/>
    <w:rsid w:val="00BA4510"/>
    <w:rsid w:val="00BA775E"/>
    <w:rsid w:val="00BB00BD"/>
    <w:rsid w:val="00BB3AAB"/>
    <w:rsid w:val="00BB5D67"/>
    <w:rsid w:val="00BC3DE9"/>
    <w:rsid w:val="00BC55EA"/>
    <w:rsid w:val="00BD2CAB"/>
    <w:rsid w:val="00BD3229"/>
    <w:rsid w:val="00BD375D"/>
    <w:rsid w:val="00BD3F1F"/>
    <w:rsid w:val="00BD4A08"/>
    <w:rsid w:val="00BD6223"/>
    <w:rsid w:val="00BD64B4"/>
    <w:rsid w:val="00BE1821"/>
    <w:rsid w:val="00BE428D"/>
    <w:rsid w:val="00BE458B"/>
    <w:rsid w:val="00BE7073"/>
    <w:rsid w:val="00BE765C"/>
    <w:rsid w:val="00BE7C05"/>
    <w:rsid w:val="00BF076D"/>
    <w:rsid w:val="00BF0DFE"/>
    <w:rsid w:val="00BF1515"/>
    <w:rsid w:val="00BF2EFA"/>
    <w:rsid w:val="00BF638D"/>
    <w:rsid w:val="00BF7B3D"/>
    <w:rsid w:val="00C009A8"/>
    <w:rsid w:val="00C01E3B"/>
    <w:rsid w:val="00C053DD"/>
    <w:rsid w:val="00C06E7B"/>
    <w:rsid w:val="00C06EE0"/>
    <w:rsid w:val="00C120D7"/>
    <w:rsid w:val="00C13C13"/>
    <w:rsid w:val="00C14D13"/>
    <w:rsid w:val="00C15703"/>
    <w:rsid w:val="00C16959"/>
    <w:rsid w:val="00C20ECE"/>
    <w:rsid w:val="00C220DC"/>
    <w:rsid w:val="00C22A6A"/>
    <w:rsid w:val="00C26396"/>
    <w:rsid w:val="00C26FE0"/>
    <w:rsid w:val="00C3736A"/>
    <w:rsid w:val="00C403A1"/>
    <w:rsid w:val="00C4135D"/>
    <w:rsid w:val="00C4196C"/>
    <w:rsid w:val="00C44879"/>
    <w:rsid w:val="00C4652A"/>
    <w:rsid w:val="00C46D87"/>
    <w:rsid w:val="00C46F65"/>
    <w:rsid w:val="00C47AA9"/>
    <w:rsid w:val="00C51837"/>
    <w:rsid w:val="00C55EEE"/>
    <w:rsid w:val="00C56766"/>
    <w:rsid w:val="00C57581"/>
    <w:rsid w:val="00C62263"/>
    <w:rsid w:val="00C6256C"/>
    <w:rsid w:val="00C6522B"/>
    <w:rsid w:val="00C66FEF"/>
    <w:rsid w:val="00C703FF"/>
    <w:rsid w:val="00C70626"/>
    <w:rsid w:val="00C74323"/>
    <w:rsid w:val="00C74A05"/>
    <w:rsid w:val="00C76E7E"/>
    <w:rsid w:val="00C77241"/>
    <w:rsid w:val="00C776CF"/>
    <w:rsid w:val="00C779FF"/>
    <w:rsid w:val="00C81121"/>
    <w:rsid w:val="00C812D2"/>
    <w:rsid w:val="00C82B94"/>
    <w:rsid w:val="00C83338"/>
    <w:rsid w:val="00C872DB"/>
    <w:rsid w:val="00C91DB5"/>
    <w:rsid w:val="00C9413F"/>
    <w:rsid w:val="00C941E0"/>
    <w:rsid w:val="00C960B2"/>
    <w:rsid w:val="00C975CF"/>
    <w:rsid w:val="00CA079D"/>
    <w:rsid w:val="00CA4DB4"/>
    <w:rsid w:val="00CA54D4"/>
    <w:rsid w:val="00CA7FC9"/>
    <w:rsid w:val="00CB08EB"/>
    <w:rsid w:val="00CB37CA"/>
    <w:rsid w:val="00CB6A95"/>
    <w:rsid w:val="00CB6B6F"/>
    <w:rsid w:val="00CB6D8B"/>
    <w:rsid w:val="00CB7565"/>
    <w:rsid w:val="00CB7693"/>
    <w:rsid w:val="00CC059F"/>
    <w:rsid w:val="00CC0615"/>
    <w:rsid w:val="00CC093B"/>
    <w:rsid w:val="00CC1D2A"/>
    <w:rsid w:val="00CC2675"/>
    <w:rsid w:val="00CC41F8"/>
    <w:rsid w:val="00CC5303"/>
    <w:rsid w:val="00CC5B31"/>
    <w:rsid w:val="00CC60F1"/>
    <w:rsid w:val="00CC6215"/>
    <w:rsid w:val="00CD35DD"/>
    <w:rsid w:val="00CD5030"/>
    <w:rsid w:val="00CD7823"/>
    <w:rsid w:val="00CE23D1"/>
    <w:rsid w:val="00CE325D"/>
    <w:rsid w:val="00CE638F"/>
    <w:rsid w:val="00CF1303"/>
    <w:rsid w:val="00CF26CD"/>
    <w:rsid w:val="00CF49CE"/>
    <w:rsid w:val="00CF647D"/>
    <w:rsid w:val="00CF7175"/>
    <w:rsid w:val="00D00B6C"/>
    <w:rsid w:val="00D04B3E"/>
    <w:rsid w:val="00D11102"/>
    <w:rsid w:val="00D126FD"/>
    <w:rsid w:val="00D13CD3"/>
    <w:rsid w:val="00D14818"/>
    <w:rsid w:val="00D20637"/>
    <w:rsid w:val="00D220F5"/>
    <w:rsid w:val="00D265E3"/>
    <w:rsid w:val="00D27185"/>
    <w:rsid w:val="00D27E72"/>
    <w:rsid w:val="00D30033"/>
    <w:rsid w:val="00D3040F"/>
    <w:rsid w:val="00D307FA"/>
    <w:rsid w:val="00D30FB6"/>
    <w:rsid w:val="00D31DFF"/>
    <w:rsid w:val="00D31FC0"/>
    <w:rsid w:val="00D3236A"/>
    <w:rsid w:val="00D32EEF"/>
    <w:rsid w:val="00D3555E"/>
    <w:rsid w:val="00D40E30"/>
    <w:rsid w:val="00D4157A"/>
    <w:rsid w:val="00D47526"/>
    <w:rsid w:val="00D47A58"/>
    <w:rsid w:val="00D52692"/>
    <w:rsid w:val="00D52848"/>
    <w:rsid w:val="00D55320"/>
    <w:rsid w:val="00D55589"/>
    <w:rsid w:val="00D566EA"/>
    <w:rsid w:val="00D6168F"/>
    <w:rsid w:val="00D7123C"/>
    <w:rsid w:val="00D801E3"/>
    <w:rsid w:val="00D8274D"/>
    <w:rsid w:val="00D911F4"/>
    <w:rsid w:val="00D95B6A"/>
    <w:rsid w:val="00D967D9"/>
    <w:rsid w:val="00D9716E"/>
    <w:rsid w:val="00DA0A4B"/>
    <w:rsid w:val="00DA0D3E"/>
    <w:rsid w:val="00DA2792"/>
    <w:rsid w:val="00DA3C25"/>
    <w:rsid w:val="00DA469F"/>
    <w:rsid w:val="00DA6719"/>
    <w:rsid w:val="00DA7510"/>
    <w:rsid w:val="00DB2BDC"/>
    <w:rsid w:val="00DB5149"/>
    <w:rsid w:val="00DB5198"/>
    <w:rsid w:val="00DB747C"/>
    <w:rsid w:val="00DC24B2"/>
    <w:rsid w:val="00DC3935"/>
    <w:rsid w:val="00DC3E63"/>
    <w:rsid w:val="00DC4A27"/>
    <w:rsid w:val="00DC56C7"/>
    <w:rsid w:val="00DC5AFC"/>
    <w:rsid w:val="00DC72EE"/>
    <w:rsid w:val="00DC74DF"/>
    <w:rsid w:val="00DC7F70"/>
    <w:rsid w:val="00DD182D"/>
    <w:rsid w:val="00DD1B9F"/>
    <w:rsid w:val="00DD531E"/>
    <w:rsid w:val="00DD568E"/>
    <w:rsid w:val="00DD598C"/>
    <w:rsid w:val="00DE1331"/>
    <w:rsid w:val="00DE47AC"/>
    <w:rsid w:val="00DE544E"/>
    <w:rsid w:val="00DE669C"/>
    <w:rsid w:val="00DF08CC"/>
    <w:rsid w:val="00DF08FB"/>
    <w:rsid w:val="00DF17C7"/>
    <w:rsid w:val="00DF1D10"/>
    <w:rsid w:val="00DF2E30"/>
    <w:rsid w:val="00DF357A"/>
    <w:rsid w:val="00DF3AFD"/>
    <w:rsid w:val="00DF4427"/>
    <w:rsid w:val="00E05603"/>
    <w:rsid w:val="00E0676B"/>
    <w:rsid w:val="00E17592"/>
    <w:rsid w:val="00E20536"/>
    <w:rsid w:val="00E20FBE"/>
    <w:rsid w:val="00E2195E"/>
    <w:rsid w:val="00E25407"/>
    <w:rsid w:val="00E300B5"/>
    <w:rsid w:val="00E337B3"/>
    <w:rsid w:val="00E35B3E"/>
    <w:rsid w:val="00E430F5"/>
    <w:rsid w:val="00E4618D"/>
    <w:rsid w:val="00E47133"/>
    <w:rsid w:val="00E47DA5"/>
    <w:rsid w:val="00E52472"/>
    <w:rsid w:val="00E544BC"/>
    <w:rsid w:val="00E545CD"/>
    <w:rsid w:val="00E579D5"/>
    <w:rsid w:val="00E60A4F"/>
    <w:rsid w:val="00E6591F"/>
    <w:rsid w:val="00E72234"/>
    <w:rsid w:val="00E73A26"/>
    <w:rsid w:val="00E75000"/>
    <w:rsid w:val="00E75C1C"/>
    <w:rsid w:val="00E77709"/>
    <w:rsid w:val="00E77928"/>
    <w:rsid w:val="00E8166A"/>
    <w:rsid w:val="00E82548"/>
    <w:rsid w:val="00E83D58"/>
    <w:rsid w:val="00E85E12"/>
    <w:rsid w:val="00E91910"/>
    <w:rsid w:val="00E92B24"/>
    <w:rsid w:val="00E949B2"/>
    <w:rsid w:val="00E974A5"/>
    <w:rsid w:val="00E97D1F"/>
    <w:rsid w:val="00E97DDF"/>
    <w:rsid w:val="00EA11E6"/>
    <w:rsid w:val="00EA30EE"/>
    <w:rsid w:val="00EA553C"/>
    <w:rsid w:val="00EB0E09"/>
    <w:rsid w:val="00EB407B"/>
    <w:rsid w:val="00EB5D10"/>
    <w:rsid w:val="00EB7F93"/>
    <w:rsid w:val="00EC0E66"/>
    <w:rsid w:val="00EC4643"/>
    <w:rsid w:val="00EC6681"/>
    <w:rsid w:val="00ED1F89"/>
    <w:rsid w:val="00ED25F6"/>
    <w:rsid w:val="00ED3176"/>
    <w:rsid w:val="00ED5D47"/>
    <w:rsid w:val="00ED7B09"/>
    <w:rsid w:val="00EE1370"/>
    <w:rsid w:val="00EF0504"/>
    <w:rsid w:val="00EF15FD"/>
    <w:rsid w:val="00EF4BE0"/>
    <w:rsid w:val="00EF4D45"/>
    <w:rsid w:val="00EF5305"/>
    <w:rsid w:val="00EF61C3"/>
    <w:rsid w:val="00EF74A3"/>
    <w:rsid w:val="00F0095F"/>
    <w:rsid w:val="00F037C2"/>
    <w:rsid w:val="00F04046"/>
    <w:rsid w:val="00F04E8E"/>
    <w:rsid w:val="00F061AC"/>
    <w:rsid w:val="00F06224"/>
    <w:rsid w:val="00F0673C"/>
    <w:rsid w:val="00F06B3F"/>
    <w:rsid w:val="00F07E84"/>
    <w:rsid w:val="00F1008B"/>
    <w:rsid w:val="00F13CDC"/>
    <w:rsid w:val="00F14A69"/>
    <w:rsid w:val="00F21399"/>
    <w:rsid w:val="00F21521"/>
    <w:rsid w:val="00F2234B"/>
    <w:rsid w:val="00F22608"/>
    <w:rsid w:val="00F24E98"/>
    <w:rsid w:val="00F2533D"/>
    <w:rsid w:val="00F267E4"/>
    <w:rsid w:val="00F27081"/>
    <w:rsid w:val="00F31253"/>
    <w:rsid w:val="00F35B5A"/>
    <w:rsid w:val="00F40A67"/>
    <w:rsid w:val="00F416B8"/>
    <w:rsid w:val="00F422D6"/>
    <w:rsid w:val="00F4274A"/>
    <w:rsid w:val="00F435FD"/>
    <w:rsid w:val="00F43887"/>
    <w:rsid w:val="00F44F17"/>
    <w:rsid w:val="00F509F6"/>
    <w:rsid w:val="00F50A9C"/>
    <w:rsid w:val="00F527AD"/>
    <w:rsid w:val="00F52E67"/>
    <w:rsid w:val="00F53DF8"/>
    <w:rsid w:val="00F546C2"/>
    <w:rsid w:val="00F61485"/>
    <w:rsid w:val="00F62390"/>
    <w:rsid w:val="00F629FE"/>
    <w:rsid w:val="00F63A62"/>
    <w:rsid w:val="00F64392"/>
    <w:rsid w:val="00F65E36"/>
    <w:rsid w:val="00F66302"/>
    <w:rsid w:val="00F66ED6"/>
    <w:rsid w:val="00F67B1A"/>
    <w:rsid w:val="00F710EC"/>
    <w:rsid w:val="00F7258E"/>
    <w:rsid w:val="00F7294C"/>
    <w:rsid w:val="00F72B7F"/>
    <w:rsid w:val="00F73F13"/>
    <w:rsid w:val="00F741A4"/>
    <w:rsid w:val="00F81A07"/>
    <w:rsid w:val="00F825DF"/>
    <w:rsid w:val="00F83A51"/>
    <w:rsid w:val="00F8499E"/>
    <w:rsid w:val="00F87955"/>
    <w:rsid w:val="00F90D90"/>
    <w:rsid w:val="00F91C08"/>
    <w:rsid w:val="00F94C33"/>
    <w:rsid w:val="00F94D90"/>
    <w:rsid w:val="00F95A2D"/>
    <w:rsid w:val="00F96078"/>
    <w:rsid w:val="00F9623F"/>
    <w:rsid w:val="00F9651A"/>
    <w:rsid w:val="00FA0331"/>
    <w:rsid w:val="00FA0F56"/>
    <w:rsid w:val="00FA1A30"/>
    <w:rsid w:val="00FA1F79"/>
    <w:rsid w:val="00FA24C0"/>
    <w:rsid w:val="00FA4AB2"/>
    <w:rsid w:val="00FA78E7"/>
    <w:rsid w:val="00FB02B4"/>
    <w:rsid w:val="00FB3843"/>
    <w:rsid w:val="00FB51D0"/>
    <w:rsid w:val="00FB51E7"/>
    <w:rsid w:val="00FB5E31"/>
    <w:rsid w:val="00FB62DD"/>
    <w:rsid w:val="00FB6475"/>
    <w:rsid w:val="00FC36C8"/>
    <w:rsid w:val="00FC4F45"/>
    <w:rsid w:val="00FD555E"/>
    <w:rsid w:val="00FD6DFD"/>
    <w:rsid w:val="00FE3547"/>
    <w:rsid w:val="00FE39EA"/>
    <w:rsid w:val="00FE4D19"/>
    <w:rsid w:val="00FE7AC6"/>
    <w:rsid w:val="00FF1689"/>
    <w:rsid w:val="00FF19DB"/>
    <w:rsid w:val="00FF5379"/>
    <w:rsid w:val="00FF6491"/>
    <w:rsid w:val="00FF67FB"/>
    <w:rsid w:val="00FF7F4A"/>
    <w:rsid w:val="00FF7FE0"/>
    <w:rsid w:val="024C0DD3"/>
    <w:rsid w:val="09EF1572"/>
    <w:rsid w:val="0BC535C4"/>
    <w:rsid w:val="0BE24B2A"/>
    <w:rsid w:val="0D83258B"/>
    <w:rsid w:val="0F3155D8"/>
    <w:rsid w:val="0F75223E"/>
    <w:rsid w:val="108D4A90"/>
    <w:rsid w:val="131B6178"/>
    <w:rsid w:val="14696D06"/>
    <w:rsid w:val="170F6A1D"/>
    <w:rsid w:val="18065BF6"/>
    <w:rsid w:val="185C5B62"/>
    <w:rsid w:val="1A3B6F05"/>
    <w:rsid w:val="1B890C37"/>
    <w:rsid w:val="1CB15839"/>
    <w:rsid w:val="1D427181"/>
    <w:rsid w:val="1FB10F53"/>
    <w:rsid w:val="20CC3062"/>
    <w:rsid w:val="21052F46"/>
    <w:rsid w:val="26C85051"/>
    <w:rsid w:val="2B151618"/>
    <w:rsid w:val="2F277F17"/>
    <w:rsid w:val="30062A98"/>
    <w:rsid w:val="30BB01E7"/>
    <w:rsid w:val="30E725E9"/>
    <w:rsid w:val="31F107CA"/>
    <w:rsid w:val="36AC0698"/>
    <w:rsid w:val="37524812"/>
    <w:rsid w:val="3B3D75B1"/>
    <w:rsid w:val="3E1C10F2"/>
    <w:rsid w:val="401D1299"/>
    <w:rsid w:val="42876CE2"/>
    <w:rsid w:val="4AD3008D"/>
    <w:rsid w:val="4BF83E68"/>
    <w:rsid w:val="50A33062"/>
    <w:rsid w:val="51542485"/>
    <w:rsid w:val="51F231A6"/>
    <w:rsid w:val="54483D0D"/>
    <w:rsid w:val="55EB785C"/>
    <w:rsid w:val="569726B1"/>
    <w:rsid w:val="56D81F6E"/>
    <w:rsid w:val="58F50568"/>
    <w:rsid w:val="5F363573"/>
    <w:rsid w:val="63755831"/>
    <w:rsid w:val="64504D2E"/>
    <w:rsid w:val="6466320D"/>
    <w:rsid w:val="687F39EA"/>
    <w:rsid w:val="6AEF63FD"/>
    <w:rsid w:val="6FE721CB"/>
    <w:rsid w:val="79CE2AA1"/>
    <w:rsid w:val="7B1E7922"/>
    <w:rsid w:val="7C4476F9"/>
    <w:rsid w:val="7C571898"/>
    <w:rsid w:val="7E177B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9"/>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5">
    <w:name w:val="Body Text"/>
    <w:basedOn w:val="1"/>
    <w:link w:val="33"/>
    <w:qFormat/>
    <w:uiPriority w:val="0"/>
    <w:pPr>
      <w:autoSpaceDE w:val="0"/>
      <w:autoSpaceDN w:val="0"/>
      <w:adjustRightInd w:val="0"/>
      <w:spacing w:line="304" w:lineRule="atLeast"/>
      <w:jc w:val="left"/>
    </w:pPr>
    <w:rPr>
      <w:rFonts w:ascii="仿宋_GB2312" w:eastAsia="仿宋_GB2312"/>
      <w:color w:val="000000"/>
      <w:kern w:val="0"/>
      <w:sz w:val="32"/>
      <w:szCs w:val="20"/>
    </w:rPr>
  </w:style>
  <w:style w:type="paragraph" w:styleId="6">
    <w:name w:val="Body Text Indent"/>
    <w:basedOn w:val="1"/>
    <w:link w:val="35"/>
    <w:semiHidden/>
    <w:unhideWhenUsed/>
    <w:qFormat/>
    <w:uiPriority w:val="0"/>
    <w:pPr>
      <w:spacing w:after="120"/>
      <w:ind w:left="420" w:leftChars="200"/>
    </w:pPr>
  </w:style>
  <w:style w:type="paragraph" w:styleId="7">
    <w:name w:val="Plain Text"/>
    <w:basedOn w:val="1"/>
    <w:link w:val="41"/>
    <w:qFormat/>
    <w:uiPriority w:val="0"/>
    <w:rPr>
      <w:rFonts w:ascii="宋体" w:hAnsi="Courier New" w:cs="Courier New"/>
      <w:szCs w:val="21"/>
    </w:rPr>
  </w:style>
  <w:style w:type="paragraph" w:styleId="8">
    <w:name w:val="Date"/>
    <w:basedOn w:val="1"/>
    <w:next w:val="1"/>
    <w:link w:val="44"/>
    <w:qFormat/>
    <w:uiPriority w:val="0"/>
    <w:pPr>
      <w:ind w:left="100" w:leftChars="2500"/>
    </w:pPr>
  </w:style>
  <w:style w:type="paragraph" w:styleId="9">
    <w:name w:val="Body Text Indent 2"/>
    <w:basedOn w:val="1"/>
    <w:link w:val="39"/>
    <w:qFormat/>
    <w:uiPriority w:val="99"/>
    <w:pPr>
      <w:spacing w:after="120" w:line="480" w:lineRule="auto"/>
      <w:ind w:left="420" w:leftChars="200"/>
    </w:pPr>
    <w:rPr>
      <w:rFonts w:asciiTheme="minorHAnsi" w:hAnsiTheme="minorHAnsi" w:eastAsiaTheme="minorEastAsia" w:cstheme="minorBidi"/>
      <w:szCs w:val="22"/>
    </w:rPr>
  </w:style>
  <w:style w:type="paragraph" w:styleId="10">
    <w:name w:val="Balloon Text"/>
    <w:basedOn w:val="1"/>
    <w:link w:val="30"/>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link w:val="37"/>
    <w:qFormat/>
    <w:uiPriority w:val="99"/>
    <w:pPr>
      <w:spacing w:before="240" w:after="60"/>
      <w:jc w:val="center"/>
      <w:outlineLvl w:val="0"/>
    </w:pPr>
    <w:rPr>
      <w:rFonts w:asciiTheme="majorHAnsi" w:hAnsiTheme="majorHAnsi" w:cstheme="majorBidi"/>
      <w:b/>
      <w:bCs/>
      <w:sz w:val="32"/>
      <w:szCs w:val="32"/>
    </w:rPr>
  </w:style>
  <w:style w:type="paragraph" w:styleId="15">
    <w:name w:val="Body Text First Indent 2"/>
    <w:basedOn w:val="6"/>
    <w:link w:val="36"/>
    <w:unhideWhenUsed/>
    <w:qFormat/>
    <w:uiPriority w:val="99"/>
    <w:pPr>
      <w:ind w:firstLine="420" w:firstLineChars="200"/>
    </w:pPr>
    <w:rPr>
      <w:rFonts w:asciiTheme="minorHAnsi" w:hAnsiTheme="minorHAnsi" w:eastAsiaTheme="minorEastAsia" w:cstheme="minorBidi"/>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HTML Typewriter"/>
    <w:basedOn w:val="18"/>
    <w:qFormat/>
    <w:uiPriority w:val="0"/>
    <w:rPr>
      <w:rFonts w:ascii="宋体" w:hAnsi="宋体" w:eastAsia="宋体" w:cs="宋体"/>
      <w:sz w:val="18"/>
      <w:szCs w:val="18"/>
    </w:rPr>
  </w:style>
  <w:style w:type="character" w:styleId="22">
    <w:name w:val="Hyperlink"/>
    <w:qFormat/>
    <w:uiPriority w:val="0"/>
    <w:rPr>
      <w:color w:val="0563C1"/>
      <w:u w:val="single"/>
    </w:rPr>
  </w:style>
  <w:style w:type="paragraph" w:customStyle="1" w:styleId="23">
    <w:name w:val="style1"/>
    <w:basedOn w:val="1"/>
    <w:qFormat/>
    <w:uiPriority w:val="0"/>
    <w:pPr>
      <w:widowControl/>
      <w:spacing w:before="100" w:beforeAutospacing="1" w:after="100" w:afterAutospacing="1"/>
      <w:jc w:val="left"/>
    </w:pPr>
    <w:rPr>
      <w:rFonts w:ascii="宋体" w:hAnsi="宋体" w:cs="宋体"/>
      <w:b/>
      <w:bCs/>
      <w:kern w:val="0"/>
      <w:sz w:val="27"/>
      <w:szCs w:val="27"/>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
    <w:name w:val="p16"/>
    <w:basedOn w:val="1"/>
    <w:qFormat/>
    <w:uiPriority w:val="0"/>
    <w:pPr>
      <w:widowControl/>
      <w:spacing w:before="100" w:after="100"/>
      <w:jc w:val="left"/>
    </w:pPr>
    <w:rPr>
      <w:rFonts w:ascii="宋体" w:hAnsi="宋体" w:cs="宋体"/>
      <w:kern w:val="0"/>
      <w:sz w:val="24"/>
    </w:rPr>
  </w:style>
  <w:style w:type="paragraph" w:styleId="26">
    <w:name w:val="No Spacing"/>
    <w:qFormat/>
    <w:uiPriority w:val="0"/>
    <w:pPr>
      <w:adjustRightInd w:val="0"/>
      <w:snapToGrid w:val="0"/>
    </w:pPr>
    <w:rPr>
      <w:rFonts w:ascii="Tahoma" w:hAnsi="Tahoma" w:eastAsia="微软雅黑" w:cs="Times New Roman"/>
      <w:sz w:val="22"/>
      <w:szCs w:val="22"/>
      <w:lang w:val="en-US" w:eastAsia="zh-CN" w:bidi="ar-SA"/>
    </w:rPr>
  </w:style>
  <w:style w:type="table" w:customStyle="1" w:styleId="27">
    <w:name w:val="网格型1"/>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1 Char"/>
    <w:basedOn w:val="18"/>
    <w:link w:val="3"/>
    <w:qFormat/>
    <w:uiPriority w:val="0"/>
    <w:rPr>
      <w:b/>
      <w:bCs/>
      <w:kern w:val="44"/>
      <w:sz w:val="44"/>
      <w:szCs w:val="44"/>
    </w:rPr>
  </w:style>
  <w:style w:type="character" w:customStyle="1" w:styleId="29">
    <w:name w:val="标题 3 Char"/>
    <w:basedOn w:val="18"/>
    <w:link w:val="4"/>
    <w:semiHidden/>
    <w:qFormat/>
    <w:uiPriority w:val="0"/>
    <w:rPr>
      <w:b/>
      <w:bCs/>
      <w:kern w:val="2"/>
      <w:sz w:val="32"/>
      <w:szCs w:val="32"/>
    </w:rPr>
  </w:style>
  <w:style w:type="character" w:customStyle="1" w:styleId="30">
    <w:name w:val="批注框文本 Char"/>
    <w:basedOn w:val="18"/>
    <w:link w:val="10"/>
    <w:qFormat/>
    <w:uiPriority w:val="0"/>
    <w:rPr>
      <w:kern w:val="2"/>
      <w:sz w:val="18"/>
      <w:szCs w:val="18"/>
    </w:rPr>
  </w:style>
  <w:style w:type="character" w:customStyle="1" w:styleId="31">
    <w:name w:val="页脚 Char"/>
    <w:basedOn w:val="18"/>
    <w:link w:val="11"/>
    <w:qFormat/>
    <w:uiPriority w:val="99"/>
    <w:rPr>
      <w:kern w:val="2"/>
      <w:sz w:val="18"/>
      <w:szCs w:val="18"/>
    </w:rPr>
  </w:style>
  <w:style w:type="paragraph" w:styleId="32">
    <w:name w:val="List Paragraph"/>
    <w:basedOn w:val="1"/>
    <w:qFormat/>
    <w:uiPriority w:val="99"/>
    <w:pPr>
      <w:ind w:firstLine="420" w:firstLineChars="200"/>
    </w:pPr>
  </w:style>
  <w:style w:type="character" w:customStyle="1" w:styleId="33">
    <w:name w:val="正文文本 Char"/>
    <w:basedOn w:val="18"/>
    <w:link w:val="5"/>
    <w:qFormat/>
    <w:uiPriority w:val="0"/>
    <w:rPr>
      <w:rFonts w:ascii="仿宋_GB2312" w:eastAsia="仿宋_GB2312"/>
      <w:color w:val="000000"/>
      <w:sz w:val="32"/>
    </w:rPr>
  </w:style>
  <w:style w:type="character" w:customStyle="1" w:styleId="34">
    <w:name w:val="NormalCharacter"/>
    <w:qFormat/>
    <w:uiPriority w:val="0"/>
  </w:style>
  <w:style w:type="character" w:customStyle="1" w:styleId="35">
    <w:name w:val="正文文本缩进 Char"/>
    <w:basedOn w:val="18"/>
    <w:link w:val="6"/>
    <w:semiHidden/>
    <w:qFormat/>
    <w:uiPriority w:val="0"/>
    <w:rPr>
      <w:kern w:val="2"/>
      <w:sz w:val="21"/>
      <w:szCs w:val="24"/>
    </w:rPr>
  </w:style>
  <w:style w:type="character" w:customStyle="1" w:styleId="36">
    <w:name w:val="正文首行缩进 2 Char"/>
    <w:basedOn w:val="35"/>
    <w:link w:val="15"/>
    <w:qFormat/>
    <w:uiPriority w:val="99"/>
    <w:rPr>
      <w:rFonts w:asciiTheme="minorHAnsi" w:hAnsiTheme="minorHAnsi" w:eastAsiaTheme="minorEastAsia" w:cstheme="minorBidi"/>
    </w:rPr>
  </w:style>
  <w:style w:type="character" w:customStyle="1" w:styleId="37">
    <w:name w:val="标题 Char"/>
    <w:basedOn w:val="18"/>
    <w:link w:val="14"/>
    <w:qFormat/>
    <w:uiPriority w:val="99"/>
    <w:rPr>
      <w:rFonts w:asciiTheme="majorHAnsi" w:hAnsiTheme="majorHAnsi" w:cstheme="majorBidi"/>
      <w:b/>
      <w:bCs/>
      <w:kern w:val="2"/>
      <w:sz w:val="32"/>
      <w:szCs w:val="32"/>
    </w:rPr>
  </w:style>
  <w:style w:type="paragraph" w:customStyle="1" w:styleId="38">
    <w:name w:val="p0"/>
    <w:basedOn w:val="1"/>
    <w:qFormat/>
    <w:uiPriority w:val="0"/>
    <w:pPr>
      <w:widowControl/>
    </w:pPr>
    <w:rPr>
      <w:kern w:val="0"/>
      <w:szCs w:val="21"/>
    </w:rPr>
  </w:style>
  <w:style w:type="character" w:customStyle="1" w:styleId="39">
    <w:name w:val="正文文本缩进 2 Char"/>
    <w:basedOn w:val="18"/>
    <w:link w:val="9"/>
    <w:qFormat/>
    <w:uiPriority w:val="99"/>
    <w:rPr>
      <w:rFonts w:asciiTheme="minorHAnsi" w:hAnsiTheme="minorHAnsi" w:eastAsiaTheme="minorEastAsia" w:cstheme="minorBidi"/>
      <w:kern w:val="2"/>
      <w:sz w:val="21"/>
      <w:szCs w:val="22"/>
    </w:rPr>
  </w:style>
  <w:style w:type="paragraph" w:customStyle="1" w:styleId="40">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1">
    <w:name w:val="纯文本 Char"/>
    <w:basedOn w:val="18"/>
    <w:link w:val="7"/>
    <w:qFormat/>
    <w:uiPriority w:val="0"/>
    <w:rPr>
      <w:rFonts w:ascii="宋体" w:hAnsi="Courier New" w:cs="Courier New"/>
      <w:kern w:val="2"/>
      <w:sz w:val="21"/>
      <w:szCs w:val="21"/>
    </w:rPr>
  </w:style>
  <w:style w:type="character" w:customStyle="1" w:styleId="42">
    <w:name w:val="Char Char"/>
    <w:basedOn w:val="18"/>
    <w:qFormat/>
    <w:uiPriority w:val="0"/>
    <w:rPr>
      <w:rFonts w:ascii="宋体" w:hAnsi="Courier New" w:eastAsia="宋体" w:cs="Courier New"/>
      <w:kern w:val="2"/>
      <w:sz w:val="21"/>
      <w:szCs w:val="21"/>
      <w:lang w:val="en-US" w:eastAsia="zh-CN" w:bidi="ar-SA"/>
    </w:rPr>
  </w:style>
  <w:style w:type="paragraph" w:customStyle="1" w:styleId="43">
    <w:name w:val="列出段落1"/>
    <w:basedOn w:val="1"/>
    <w:qFormat/>
    <w:uiPriority w:val="0"/>
    <w:pPr>
      <w:ind w:firstLine="420" w:firstLineChars="200"/>
    </w:pPr>
    <w:rPr>
      <w:rFonts w:ascii="Calibri" w:hAnsi="Calibri"/>
      <w:szCs w:val="22"/>
    </w:rPr>
  </w:style>
  <w:style w:type="character" w:customStyle="1" w:styleId="44">
    <w:name w:val="日期 Char"/>
    <w:basedOn w:val="18"/>
    <w:link w:val="8"/>
    <w:qFormat/>
    <w:uiPriority w:val="0"/>
    <w:rPr>
      <w:kern w:val="2"/>
      <w:sz w:val="21"/>
      <w:szCs w:val="24"/>
    </w:rPr>
  </w:style>
  <w:style w:type="character" w:customStyle="1" w:styleId="45">
    <w:name w:val="font01"/>
    <w:basedOn w:val="18"/>
    <w:qFormat/>
    <w:uiPriority w:val="0"/>
    <w:rPr>
      <w:rFonts w:ascii="Calibri" w:hAnsi="Calibri" w:cs="Calibri"/>
      <w:color w:val="000000"/>
      <w:sz w:val="18"/>
      <w:szCs w:val="18"/>
      <w:u w:val="none"/>
    </w:rPr>
  </w:style>
  <w:style w:type="character" w:customStyle="1" w:styleId="46">
    <w:name w:val="font21"/>
    <w:basedOn w:val="18"/>
    <w:qFormat/>
    <w:uiPriority w:val="0"/>
    <w:rPr>
      <w:rFonts w:hint="eastAsia" w:ascii="宋体" w:hAnsi="宋体" w:eastAsia="宋体" w:cs="宋体"/>
      <w:color w:val="000000"/>
      <w:sz w:val="18"/>
      <w:szCs w:val="18"/>
      <w:u w:val="none"/>
    </w:rPr>
  </w:style>
  <w:style w:type="character" w:customStyle="1" w:styleId="47">
    <w:name w:val="font41"/>
    <w:basedOn w:val="18"/>
    <w:qFormat/>
    <w:uiPriority w:val="0"/>
    <w:rPr>
      <w:rFonts w:ascii="Calibri" w:hAnsi="Calibri" w:cs="Calibri"/>
      <w:color w:val="000000"/>
      <w:sz w:val="18"/>
      <w:szCs w:val="18"/>
      <w:u w:val="none"/>
    </w:rPr>
  </w:style>
  <w:style w:type="character" w:customStyle="1" w:styleId="48">
    <w:name w:val="font31"/>
    <w:basedOn w:val="18"/>
    <w:qFormat/>
    <w:uiPriority w:val="0"/>
    <w:rPr>
      <w:rFonts w:ascii="Calibri" w:hAnsi="Calibri" w:cs="Calibri"/>
      <w:color w:val="000000"/>
      <w:sz w:val="18"/>
      <w:szCs w:val="18"/>
      <w:u w:val="none"/>
    </w:rPr>
  </w:style>
  <w:style w:type="character" w:customStyle="1" w:styleId="49">
    <w:name w:val="font51"/>
    <w:basedOn w:val="18"/>
    <w:qFormat/>
    <w:uiPriority w:val="0"/>
    <w:rPr>
      <w:rFonts w:ascii="Calibri" w:hAnsi="Calibri" w:cs="Calibri"/>
      <w:color w:val="000000"/>
      <w:sz w:val="18"/>
      <w:szCs w:val="18"/>
      <w:u w:val="none"/>
    </w:rPr>
  </w:style>
  <w:style w:type="character" w:customStyle="1" w:styleId="50">
    <w:name w:val="正文文本_"/>
    <w:basedOn w:val="18"/>
    <w:link w:val="51"/>
    <w:qFormat/>
    <w:uiPriority w:val="0"/>
    <w:rPr>
      <w:rFonts w:ascii="宋体" w:hAnsi="宋体" w:eastAsia="宋体" w:cs="宋体"/>
      <w:sz w:val="28"/>
      <w:szCs w:val="28"/>
      <w:lang w:val="zh-CN" w:bidi="zh-CN"/>
    </w:rPr>
  </w:style>
  <w:style w:type="paragraph" w:customStyle="1" w:styleId="51">
    <w:name w:val="正文文本1"/>
    <w:basedOn w:val="1"/>
    <w:link w:val="50"/>
    <w:qFormat/>
    <w:uiPriority w:val="0"/>
    <w:pPr>
      <w:spacing w:line="422" w:lineRule="auto"/>
      <w:ind w:firstLine="400"/>
      <w:jc w:val="left"/>
    </w:pPr>
    <w:rPr>
      <w:rFonts w:ascii="宋体" w:hAnsi="宋体" w:cs="宋体"/>
      <w:kern w:val="0"/>
      <w:sz w:val="28"/>
      <w:szCs w:val="28"/>
      <w:lang w:val="zh-CN" w:bidi="zh-CN"/>
    </w:rPr>
  </w:style>
  <w:style w:type="paragraph" w:customStyle="1" w:styleId="5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3"/>
    <customShpInfo spid="_x0000_s4101"/>
    <customShpInfo spid="_x0000_s410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E10EF-E4EC-4C11-B7D7-5E719E99193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8823</Words>
  <Characters>9008</Characters>
  <Lines>66</Lines>
  <Paragraphs>18</Paragraphs>
  <TotalTime>12</TotalTime>
  <ScaleCrop>false</ScaleCrop>
  <LinksUpToDate>false</LinksUpToDate>
  <CharactersWithSpaces>9177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2021-03-08T09:07:00Z</dcterms:created>
  <dc:creator>wys</dc:creator>
  <cp:lastModifiedBy>南安市行政服务中心管委会</cp:lastModifiedBy>
  <cp:lastPrinted>2025-02-14T00:34:00Z</cp:lastPrinted>
  <dcterms:modified xsi:type="dcterms:W3CDTF">2025-02-17T02:12:32Z</dcterms:modified>
  <dc:title>南文体新〔2012〕  号                 签发人：吴佳和</dc:title>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eyJoZGlkIjoiNWZmZDdmNTVjNDdmMmI3MTdhNjIwNzI4ODJiMTdiYzQiLCJ1c2VySWQiOiIyNjU0NDU2NDcifQ==</vt:lpwstr>
  </property>
  <property fmtid="{D5CDD505-2E9C-101B-9397-08002B2CF9AE}" pid="4" name="ICV">
    <vt:lpwstr>D7E3665B2B064F6EB1007AFEE6450620_12</vt:lpwstr>
  </property>
</Properties>
</file>