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left"/>
        <w:rPr>
          <w:rFonts w:eastAsia="黑体"/>
          <w:color w:val="000000"/>
          <w:sz w:val="44"/>
          <w:szCs w:val="44"/>
        </w:rPr>
      </w:pPr>
      <w:r>
        <w:rPr>
          <w:rFonts w:hAnsi="黑体" w:eastAsia="黑体"/>
          <w:color w:val="000000"/>
          <w:kern w:val="0"/>
          <w:sz w:val="32"/>
          <w:szCs w:val="32"/>
          <w:shd w:val="clear" w:color="auto" w:fill="FFFFFF"/>
        </w:rPr>
        <w:t>附件</w:t>
      </w:r>
    </w:p>
    <w:p>
      <w:pPr>
        <w:autoSpaceDE w:val="0"/>
        <w:spacing w:line="600" w:lineRule="exact"/>
        <w:jc w:val="center"/>
        <w:rPr>
          <w:rFonts w:eastAsia="方正小标宋简体"/>
          <w:color w:val="000000"/>
          <w:sz w:val="44"/>
          <w:szCs w:val="44"/>
        </w:rPr>
      </w:pPr>
    </w:p>
    <w:p>
      <w:pPr>
        <w:autoSpaceDE w:val="0"/>
        <w:spacing w:line="600" w:lineRule="exact"/>
        <w:jc w:val="center"/>
        <w:rPr>
          <w:rFonts w:eastAsia="方正小标宋简体"/>
          <w:color w:val="000000"/>
          <w:sz w:val="44"/>
          <w:szCs w:val="44"/>
        </w:rPr>
      </w:pPr>
      <w:r>
        <w:rPr>
          <w:rFonts w:eastAsia="方正小标宋简体"/>
          <w:color w:val="000000"/>
          <w:sz w:val="44"/>
          <w:szCs w:val="44"/>
        </w:rPr>
        <w:t>南安市商贸企业提质增效奖励申报指南</w:t>
      </w:r>
    </w:p>
    <w:p>
      <w:pPr>
        <w:pStyle w:val="2"/>
        <w:spacing w:after="0" w:line="600" w:lineRule="exact"/>
        <w:ind w:firstLine="0" w:firstLineChars="0"/>
      </w:pPr>
    </w:p>
    <w:p>
      <w:pPr>
        <w:spacing w:line="620" w:lineRule="exact"/>
        <w:ind w:firstLine="643" w:firstLineChars="200"/>
        <w:rPr>
          <w:rFonts w:eastAsia="黑体"/>
          <w:sz w:val="32"/>
          <w:szCs w:val="32"/>
        </w:rPr>
      </w:pPr>
      <w:r>
        <w:rPr>
          <w:rFonts w:hAnsi="黑体" w:eastAsia="黑体"/>
          <w:b/>
          <w:bCs/>
          <w:sz w:val="32"/>
          <w:szCs w:val="32"/>
        </w:rPr>
        <w:t>一、</w:t>
      </w:r>
      <w:r>
        <w:rPr>
          <w:rFonts w:hAnsi="黑体" w:eastAsia="黑体"/>
          <w:sz w:val="32"/>
          <w:szCs w:val="32"/>
        </w:rPr>
        <w:t>产销分离奖励政策</w:t>
      </w:r>
    </w:p>
    <w:p>
      <w:pPr>
        <w:spacing w:line="620" w:lineRule="exact"/>
        <w:ind w:firstLine="640" w:firstLineChars="200"/>
        <w:rPr>
          <w:rFonts w:eastAsia="楷体_GB2312"/>
          <w:sz w:val="32"/>
          <w:szCs w:val="32"/>
        </w:rPr>
      </w:pPr>
      <w:r>
        <w:rPr>
          <w:rFonts w:eastAsia="楷体_GB2312"/>
          <w:sz w:val="32"/>
          <w:szCs w:val="32"/>
        </w:rPr>
        <w:t>（一）政策内容</w:t>
      </w:r>
    </w:p>
    <w:p>
      <w:pPr>
        <w:spacing w:line="620" w:lineRule="exact"/>
        <w:ind w:firstLine="640" w:firstLineChars="200"/>
        <w:rPr>
          <w:rFonts w:eastAsia="仿宋_GB2312"/>
          <w:sz w:val="32"/>
          <w:szCs w:val="32"/>
        </w:rPr>
      </w:pPr>
      <w:r>
        <w:rPr>
          <w:rFonts w:eastAsia="仿宋_GB2312"/>
          <w:sz w:val="32"/>
          <w:szCs w:val="32"/>
        </w:rPr>
        <w:t>进行产销分离，且分离出的销售公司于2022至2024年度入库纳统的，销售公司当年度销售额达2000万元以上至5000万元（含），且销售额对比上一年度增速</w:t>
      </w:r>
      <w:r>
        <w:rPr>
          <w:rFonts w:eastAsia="仿宋_GB2312"/>
          <w:color w:val="000000"/>
          <w:sz w:val="32"/>
          <w:szCs w:val="32"/>
        </w:rPr>
        <w:t>达30%以上（月度新增企业纳统当年度</w:t>
      </w:r>
      <w:r>
        <w:rPr>
          <w:rFonts w:eastAsia="仿宋_GB2312"/>
          <w:sz w:val="32"/>
          <w:szCs w:val="32"/>
        </w:rPr>
        <w:t>销售额</w:t>
      </w:r>
      <w:r>
        <w:rPr>
          <w:rFonts w:eastAsia="仿宋_GB2312"/>
          <w:color w:val="000000"/>
          <w:sz w:val="32"/>
          <w:szCs w:val="32"/>
        </w:rPr>
        <w:t>增速不作限制，下同）</w:t>
      </w:r>
      <w:r>
        <w:rPr>
          <w:rFonts w:eastAsia="仿宋_GB2312"/>
          <w:sz w:val="32"/>
          <w:szCs w:val="32"/>
        </w:rPr>
        <w:t>，按照原生产企业叠加销售企业对比上一年度新增本级经济贡献总额的60%给予奖励；当年度销售额达5000万元以上至1亿元（含），且销售额对比上一年度增速</w:t>
      </w:r>
      <w:r>
        <w:rPr>
          <w:rFonts w:eastAsia="仿宋_GB2312"/>
          <w:color w:val="000000"/>
          <w:sz w:val="32"/>
          <w:szCs w:val="32"/>
        </w:rPr>
        <w:t>达30%以上</w:t>
      </w:r>
      <w:r>
        <w:rPr>
          <w:rFonts w:eastAsia="仿宋_GB2312"/>
          <w:sz w:val="32"/>
          <w:szCs w:val="32"/>
        </w:rPr>
        <w:t>，按照原生产企业叠加销售企业对比上一年度新增本级经济贡献额80%给予奖励；当年度销售额达到1亿元以上，且销售额对比上一年度增速</w:t>
      </w:r>
      <w:r>
        <w:rPr>
          <w:rFonts w:eastAsia="仿宋_GB2312"/>
          <w:color w:val="000000"/>
          <w:sz w:val="32"/>
          <w:szCs w:val="32"/>
        </w:rPr>
        <w:t>达30%以上</w:t>
      </w:r>
      <w:r>
        <w:rPr>
          <w:rFonts w:eastAsia="仿宋_GB2312"/>
          <w:sz w:val="32"/>
          <w:szCs w:val="32"/>
        </w:rPr>
        <w:t>，按照原生产企业叠加销售企业对比上一年度新增本级经济贡献额100%给予奖励。单家企业奖励金额每年不超过100万元。（</w:t>
      </w:r>
      <w:r>
        <w:rPr>
          <w:rStyle w:val="5"/>
          <w:rFonts w:eastAsia="仿宋_GB2312"/>
          <w:sz w:val="32"/>
          <w:szCs w:val="32"/>
        </w:rPr>
        <w:t>工业企业设立的销售公司为全资子公司或与母公司控股股东一致的，可认定为产销分离，若与其他</w:t>
      </w:r>
      <w:r>
        <w:rPr>
          <w:rFonts w:eastAsia="仿宋_GB2312"/>
          <w:sz w:val="32"/>
          <w:szCs w:val="32"/>
        </w:rPr>
        <w:t>本级经济贡献类奖励叠加时，奖励总额不得超过本级经济贡献额的100%）。</w:t>
      </w:r>
    </w:p>
    <w:p>
      <w:pPr>
        <w:spacing w:line="620" w:lineRule="exact"/>
        <w:ind w:firstLine="640" w:firstLineChars="200"/>
        <w:rPr>
          <w:rFonts w:eastAsia="楷体_GB2312"/>
          <w:sz w:val="32"/>
          <w:szCs w:val="32"/>
        </w:rPr>
      </w:pPr>
      <w:r>
        <w:rPr>
          <w:rFonts w:eastAsia="楷体_GB2312"/>
          <w:sz w:val="32"/>
          <w:szCs w:val="32"/>
        </w:rPr>
        <w:t>（二）申报材料</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企业申请报告（报告必须包含产销分离的工业企业和贸易企业名称及相关情况，以及企业入库纳统情况等内容）；</w:t>
      </w:r>
    </w:p>
    <w:p>
      <w:pPr>
        <w:spacing w:line="62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工业企业和贸易企业营业执照复印件、法人代表身份证复印件（复印件都需要加盖公章）；</w:t>
      </w:r>
    </w:p>
    <w:p>
      <w:pPr>
        <w:spacing w:line="62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产销分离的佐证材料（</w:t>
      </w:r>
      <w:r>
        <w:rPr>
          <w:rStyle w:val="5"/>
          <w:rFonts w:eastAsia="仿宋_GB2312"/>
          <w:color w:val="000000"/>
          <w:kern w:val="0"/>
          <w:sz w:val="32"/>
          <w:szCs w:val="32"/>
        </w:rPr>
        <w:t>工业企业设立的销售公司为全资子公司或与母公司控股股东一致的</w:t>
      </w:r>
      <w:r>
        <w:rPr>
          <w:rFonts w:eastAsia="仿宋_GB2312"/>
          <w:color w:val="000000"/>
          <w:sz w:val="32"/>
          <w:szCs w:val="32"/>
        </w:rPr>
        <w:t>证明材料）；</w:t>
      </w:r>
    </w:p>
    <w:p>
      <w:pPr>
        <w:spacing w:line="6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产销分离前工业企业税收证明材料，产销分离后工业企业和贸易企业税收证明材料。</w:t>
      </w:r>
    </w:p>
    <w:p>
      <w:pPr>
        <w:spacing w:line="620" w:lineRule="exact"/>
        <w:ind w:firstLine="640" w:firstLineChars="200"/>
        <w:rPr>
          <w:rFonts w:eastAsia="楷体_GB2312"/>
          <w:sz w:val="32"/>
          <w:szCs w:val="32"/>
        </w:rPr>
      </w:pPr>
      <w:r>
        <w:rPr>
          <w:rFonts w:eastAsia="楷体_GB2312"/>
          <w:sz w:val="32"/>
          <w:szCs w:val="32"/>
        </w:rPr>
        <w:t>（三）申报流程</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企业将材料提交属地乡镇（街道），由属地乡镇（街道）进行初审后，在企业申请报告上签字盖章，再将材料送市商务局。</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由市商务局进行再次审核，并联合市直有关部门向市政府提出申请。</w:t>
      </w:r>
    </w:p>
    <w:p>
      <w:pPr>
        <w:spacing w:line="6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市政府领导同意后，由市财政局拨款到市商务局。</w:t>
      </w:r>
    </w:p>
    <w:p>
      <w:pPr>
        <w:spacing w:line="6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企业提供收款收据、开户许可证复印件等材料，由市商务局负责向市直有关</w:t>
      </w:r>
      <w:r>
        <w:rPr>
          <w:rFonts w:hint="eastAsia" w:eastAsia="仿宋_GB2312"/>
          <w:sz w:val="32"/>
          <w:szCs w:val="32"/>
          <w:lang w:eastAsia="zh-CN"/>
        </w:rPr>
        <w:t>单位</w:t>
      </w:r>
      <w:bookmarkStart w:id="0" w:name="_GoBack"/>
      <w:bookmarkEnd w:id="0"/>
      <w:r>
        <w:rPr>
          <w:rFonts w:eastAsia="仿宋_GB2312"/>
          <w:sz w:val="32"/>
          <w:szCs w:val="32"/>
        </w:rPr>
        <w:t>函询企业涉黑涉恶、安全生产、诚信等方面情况，再将资金拨付到符合条件的企业对公账号。</w:t>
      </w:r>
    </w:p>
    <w:p>
      <w:pPr>
        <w:spacing w:line="620" w:lineRule="exact"/>
        <w:ind w:firstLine="640" w:firstLineChars="200"/>
        <w:rPr>
          <w:rFonts w:eastAsia="仿宋_GB2312"/>
          <w:sz w:val="32"/>
          <w:szCs w:val="32"/>
        </w:rPr>
      </w:pPr>
      <w:r>
        <w:rPr>
          <w:rFonts w:hAnsi="黑体" w:eastAsia="黑体"/>
          <w:bCs/>
          <w:sz w:val="32"/>
          <w:szCs w:val="32"/>
        </w:rPr>
        <w:t>二、大中型超市、酒店宾馆、电商企业入库纳统后奖励政策</w:t>
      </w:r>
    </w:p>
    <w:p>
      <w:pPr>
        <w:spacing w:line="620" w:lineRule="exact"/>
        <w:ind w:firstLine="640" w:firstLineChars="200"/>
        <w:rPr>
          <w:rFonts w:eastAsia="楷体_GB2312"/>
          <w:sz w:val="32"/>
          <w:szCs w:val="32"/>
        </w:rPr>
      </w:pPr>
      <w:r>
        <w:rPr>
          <w:rFonts w:eastAsia="楷体_GB2312"/>
          <w:sz w:val="32"/>
          <w:szCs w:val="32"/>
        </w:rPr>
        <w:t>（一）政策内容</w:t>
      </w:r>
    </w:p>
    <w:p>
      <w:pPr>
        <w:spacing w:line="620" w:lineRule="exact"/>
        <w:ind w:firstLine="640" w:firstLineChars="200"/>
        <w:rPr>
          <w:rFonts w:eastAsia="仿宋_GB2312"/>
          <w:sz w:val="32"/>
          <w:szCs w:val="32"/>
        </w:rPr>
      </w:pPr>
      <w:r>
        <w:rPr>
          <w:rFonts w:eastAsia="仿宋_GB2312"/>
          <w:sz w:val="32"/>
          <w:szCs w:val="32"/>
        </w:rPr>
        <w:t>对大中型超市、酒店宾馆、电商企业入库纳统后，根据企业当年度本级经济贡献比前三年本级经济贡献平均值增量部分的80%进行奖励。同时，在同等条件下优先推荐为“保供企业”、“无疫商超”、“隔离酒店”等，并优先支持申报各级各项奖励政策。</w:t>
      </w:r>
    </w:p>
    <w:p>
      <w:pPr>
        <w:spacing w:line="620" w:lineRule="exact"/>
        <w:ind w:firstLine="640" w:firstLineChars="200"/>
        <w:rPr>
          <w:rFonts w:eastAsia="楷体_GB2312"/>
          <w:sz w:val="32"/>
          <w:szCs w:val="32"/>
        </w:rPr>
      </w:pPr>
      <w:r>
        <w:rPr>
          <w:rFonts w:eastAsia="楷体_GB2312"/>
          <w:sz w:val="32"/>
          <w:szCs w:val="32"/>
        </w:rPr>
        <w:t>（二）申报材料</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企业申请报告；</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企业营业执照复印件、法人代表身份证复印件（复印件都需要加盖公章）；</w:t>
      </w:r>
    </w:p>
    <w:p>
      <w:pPr>
        <w:spacing w:line="6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企业前三年及当年度的税收证明材料。</w:t>
      </w:r>
    </w:p>
    <w:p>
      <w:pPr>
        <w:spacing w:line="620" w:lineRule="exact"/>
        <w:ind w:firstLine="640" w:firstLineChars="200"/>
        <w:rPr>
          <w:rFonts w:eastAsia="楷体_GB2312"/>
          <w:sz w:val="32"/>
          <w:szCs w:val="32"/>
        </w:rPr>
      </w:pPr>
      <w:r>
        <w:rPr>
          <w:rFonts w:eastAsia="楷体_GB2312"/>
          <w:sz w:val="32"/>
          <w:szCs w:val="32"/>
        </w:rPr>
        <w:t>（三）申报流程</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企业将材料提交属地乡镇（街道），由属地乡镇（街道）进行初审后，在企业申请报告上签字盖章，再将材料送市商务局。</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由市商务局进行再次审核，并联合市统计局、财政局等部门向市政府提出申请。</w:t>
      </w:r>
    </w:p>
    <w:p>
      <w:pPr>
        <w:spacing w:line="6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市政府领导同意后，由市财政局拨款到市商务局。</w:t>
      </w:r>
    </w:p>
    <w:p>
      <w:pPr>
        <w:spacing w:line="6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企业提供收款收据、开户许可证复印件等材料，由市商务局负责向市直有关</w:t>
      </w:r>
      <w:r>
        <w:rPr>
          <w:rFonts w:hint="eastAsia" w:eastAsia="仿宋_GB2312"/>
          <w:sz w:val="32"/>
          <w:szCs w:val="32"/>
          <w:lang w:eastAsia="zh-CN"/>
        </w:rPr>
        <w:t>单位</w:t>
      </w:r>
      <w:r>
        <w:rPr>
          <w:rFonts w:eastAsia="仿宋_GB2312"/>
          <w:sz w:val="32"/>
          <w:szCs w:val="32"/>
        </w:rPr>
        <w:t>函询企业涉黑涉恶、安全生产、诚信等方面情况，再将资金拨付到符合条件的企业对公账号。</w:t>
      </w:r>
    </w:p>
    <w:p>
      <w:pPr>
        <w:spacing w:line="620" w:lineRule="exact"/>
        <w:ind w:firstLine="640" w:firstLineChars="200"/>
        <w:rPr>
          <w:rFonts w:eastAsia="黑体"/>
          <w:sz w:val="32"/>
          <w:szCs w:val="32"/>
        </w:rPr>
      </w:pPr>
      <w:r>
        <w:rPr>
          <w:rFonts w:hAnsi="黑体" w:eastAsia="黑体"/>
          <w:sz w:val="32"/>
          <w:szCs w:val="32"/>
        </w:rPr>
        <w:t>三、对专业市场、商业综合体运营方奖励政策</w:t>
      </w:r>
    </w:p>
    <w:p>
      <w:pPr>
        <w:spacing w:line="620" w:lineRule="exact"/>
        <w:ind w:firstLine="640" w:firstLineChars="200"/>
        <w:rPr>
          <w:rFonts w:eastAsia="楷体_GB2312"/>
          <w:sz w:val="32"/>
          <w:szCs w:val="32"/>
        </w:rPr>
      </w:pPr>
      <w:r>
        <w:rPr>
          <w:rFonts w:eastAsia="楷体_GB2312"/>
          <w:sz w:val="32"/>
          <w:szCs w:val="32"/>
        </w:rPr>
        <w:t>（一）政策内容</w:t>
      </w:r>
    </w:p>
    <w:p>
      <w:pPr>
        <w:spacing w:line="620" w:lineRule="exact"/>
        <w:ind w:firstLine="640" w:firstLineChars="200"/>
        <w:rPr>
          <w:rFonts w:eastAsia="仿宋_GB2312"/>
          <w:sz w:val="32"/>
          <w:szCs w:val="32"/>
        </w:rPr>
      </w:pPr>
      <w:r>
        <w:rPr>
          <w:rFonts w:eastAsia="仿宋_GB2312"/>
          <w:sz w:val="32"/>
          <w:szCs w:val="32"/>
        </w:rPr>
        <w:t>对专业市场、商业综合体运营方主动引导内部商户入库纳统数量达到20家（含）以上的，给予一次性奖励10万元，每多5家，增加奖励1万元。对专业市场、综合体内部商户个体户转为法人企业并入库纳统的，除新增纳统奖励外，再追加奖励3万元。（已享受专项试点政策的专业市场或商业综合体不再享受该政策）</w:t>
      </w:r>
    </w:p>
    <w:p>
      <w:pPr>
        <w:spacing w:line="620" w:lineRule="exact"/>
        <w:ind w:firstLine="640" w:firstLineChars="200"/>
        <w:rPr>
          <w:rFonts w:eastAsia="楷体"/>
          <w:b/>
          <w:sz w:val="32"/>
          <w:szCs w:val="32"/>
        </w:rPr>
      </w:pPr>
      <w:r>
        <w:rPr>
          <w:rFonts w:eastAsia="楷体_GB2312"/>
          <w:sz w:val="32"/>
          <w:szCs w:val="32"/>
        </w:rPr>
        <w:t>（二）申报材料</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企业申请报告；</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企业营业执照复印件、法人代表身份证复印件（复印件都需要加盖公章）；</w:t>
      </w:r>
    </w:p>
    <w:p>
      <w:pPr>
        <w:spacing w:line="6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引导入库纳统的内部商户名单及联系方式等。</w:t>
      </w:r>
    </w:p>
    <w:p>
      <w:pPr>
        <w:spacing w:line="620" w:lineRule="exact"/>
        <w:ind w:firstLine="640" w:firstLineChars="200"/>
        <w:rPr>
          <w:rFonts w:eastAsia="楷体_GB2312"/>
          <w:sz w:val="32"/>
          <w:szCs w:val="32"/>
        </w:rPr>
      </w:pPr>
      <w:r>
        <w:rPr>
          <w:rFonts w:eastAsia="楷体_GB2312"/>
          <w:sz w:val="32"/>
          <w:szCs w:val="32"/>
        </w:rPr>
        <w:t>（三）申报流程</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企业将材料提交属地乡镇（街道），由属地乡镇（街道）进行初审后，在企业申请报告上签字盖章，再将材料送市商务局。</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由市商务局进行再次审核，并联合市统计局、财政局等部门向市政府提出申请。</w:t>
      </w:r>
    </w:p>
    <w:p>
      <w:pPr>
        <w:spacing w:line="6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市政府领导同意后，由市财政局拨款到市商务局。</w:t>
      </w:r>
    </w:p>
    <w:p>
      <w:pPr>
        <w:spacing w:line="6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企业提供收款收据、开户许可证复印件等材料，由市商务局负责向市直有关</w:t>
      </w:r>
      <w:r>
        <w:rPr>
          <w:rFonts w:hint="eastAsia" w:eastAsia="仿宋_GB2312"/>
          <w:sz w:val="32"/>
          <w:szCs w:val="32"/>
          <w:lang w:eastAsia="zh-CN"/>
        </w:rPr>
        <w:t>单位</w:t>
      </w:r>
      <w:r>
        <w:rPr>
          <w:rFonts w:eastAsia="仿宋_GB2312"/>
          <w:sz w:val="32"/>
          <w:szCs w:val="32"/>
        </w:rPr>
        <w:t>函询企业涉黑涉恶、安全生产、诚信等方面情况，再将资金拨付到符合条件的企业对公账号。</w:t>
      </w:r>
    </w:p>
    <w:p>
      <w:pPr>
        <w:spacing w:line="620" w:lineRule="exact"/>
        <w:ind w:firstLine="640" w:firstLineChars="200"/>
        <w:rPr>
          <w:rFonts w:eastAsia="黑体"/>
          <w:color w:val="000000"/>
          <w:sz w:val="32"/>
          <w:szCs w:val="32"/>
        </w:rPr>
      </w:pPr>
      <w:r>
        <w:rPr>
          <w:rFonts w:eastAsia="黑体"/>
          <w:color w:val="000000"/>
          <w:sz w:val="32"/>
          <w:szCs w:val="32"/>
        </w:rPr>
        <w:t>四、注意事项</w:t>
      </w:r>
    </w:p>
    <w:p>
      <w:pPr>
        <w:spacing w:line="620" w:lineRule="exact"/>
        <w:ind w:firstLine="640" w:firstLineChars="200"/>
        <w:rPr>
          <w:rFonts w:eastAsia="仿宋_GB2312"/>
          <w:sz w:val="32"/>
          <w:szCs w:val="32"/>
        </w:rPr>
      </w:pPr>
      <w:r>
        <w:rPr>
          <w:rFonts w:eastAsia="仿宋_GB2312"/>
          <w:sz w:val="32"/>
          <w:szCs w:val="32"/>
        </w:rPr>
        <w:t>已享受各级同类扶持政策，按照从高不重复原则予以奖励（特别规定的除外）。凡在南安辖区内存在生产安全责任事故记录，存在突出生态环境问题，存在欠税行为，被列入失信被执行人，被列为涉黑涉恶企业及非法组织机构（包括企业法定代表人、实际控制人、董事、监事、高级管理人员参与涉黑涉恶企业及非法组织机构），不予享受鼓励扶持政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48F773BA"/>
    <w:rsid w:val="53EE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ind w:firstLine="200" w:firstLineChars="200"/>
    </w:pPr>
    <w:rPr>
      <w:rFonts w:eastAsia="仿宋"/>
      <w:sz w:val="32"/>
    </w:rPr>
  </w:style>
  <w:style w:type="character" w:customStyle="1" w:styleId="5">
    <w:name w:val="NormalCharacter"/>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2024-05-13T02:58:00Z</dcterms:created>
  <dc:creator>Administrator</dc:creator>
  <cp:lastModifiedBy>十二.</cp:lastModifiedBy>
  <dcterms:modified xsi:type="dcterms:W3CDTF">2024-05-13T03:12:09Z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36902815FC274279B91169A79C452022_12</vt:lpwstr>
  </property>
</Properties>
</file>