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eastAsia="仿宋" w:cs="Times New Roman"/>
          <w:b/>
          <w:bCs/>
          <w:u w:val="none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jc w:val="center"/>
        <w:textAlignment w:val="top"/>
        <w:rPr>
          <w:rFonts w:hint="default" w:ascii="Times New Roman" w:hAnsi="Times New Roman" w:cs="Times New Roman" w:eastAsiaTheme="majorEastAsia"/>
          <w:b/>
          <w:bCs/>
          <w:kern w:val="2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b/>
          <w:bCs/>
          <w:kern w:val="2"/>
          <w:sz w:val="44"/>
          <w:szCs w:val="44"/>
          <w:u w:val="none"/>
          <w:lang w:val="en-US" w:eastAsia="zh-CN" w:bidi="ar-SA"/>
        </w:rPr>
        <w:t>2023年推动商贸企业“限下转限上”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jc w:val="center"/>
        <w:textAlignment w:val="top"/>
        <w:rPr>
          <w:rFonts w:hint="default" w:ascii="Times New Roman" w:hAnsi="Times New Roman" w:cs="Times New Roman" w:eastAsiaTheme="majorEastAsia"/>
          <w:b/>
          <w:bCs/>
          <w:kern w:val="2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b/>
          <w:bCs/>
          <w:kern w:val="2"/>
          <w:sz w:val="44"/>
          <w:szCs w:val="44"/>
          <w:u w:val="none"/>
          <w:lang w:val="en-US" w:eastAsia="zh-CN" w:bidi="ar-SA"/>
        </w:rPr>
        <w:t>项目申报指南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5"/>
        <w:outlineLvl w:val="9"/>
        <w:rPr>
          <w:rFonts w:hint="default" w:ascii="Times New Roman" w:hAnsi="Times New Roman" w:eastAsia="黑体" w:cs="Times New Roman"/>
          <w:color w:val="auto"/>
          <w:u w:val="none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5"/>
        <w:outlineLvl w:val="9"/>
        <w:rPr>
          <w:rFonts w:hint="default" w:ascii="Times New Roman" w:hAnsi="Times New Roman" w:eastAsia="黑体" w:cs="Times New Roman"/>
          <w:color w:val="auto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u w:val="none"/>
        </w:rPr>
        <w:t>一、支持</w:t>
      </w:r>
      <w:r>
        <w:rPr>
          <w:rFonts w:hint="default" w:ascii="Times New Roman" w:hAnsi="Times New Roman" w:eastAsia="黑体" w:cs="Times New Roman"/>
          <w:color w:val="auto"/>
          <w:u w:val="none"/>
          <w:lang w:val="en-US" w:eastAsia="zh-CN"/>
        </w:rPr>
        <w:t>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40"/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  <w:t>鼓励商贸企业“下转上”，对2023年度（统计年度）新增并达到一定增速的限额以下转限额以上（以下简称“下转上”）商贸企业和新开业纳统商贸企业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" w:eastAsia="zh-CN" w:bidi="ar-SA"/>
        </w:rPr>
        <w:t>,省级财政给予叠加奖励。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5"/>
        <w:outlineLvl w:val="9"/>
        <w:rPr>
          <w:rFonts w:hint="default" w:ascii="Times New Roman" w:hAnsi="Times New Roman" w:eastAsia="黑体" w:cs="Times New Roman"/>
          <w:color w:val="auto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u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u w:val="none"/>
          <w:lang w:eastAsia="zh-CN"/>
        </w:rPr>
        <w:t>支持</w:t>
      </w:r>
      <w:r>
        <w:rPr>
          <w:rFonts w:hint="default" w:ascii="Times New Roman" w:hAnsi="Times New Roman" w:eastAsia="黑体" w:cs="Times New Roman"/>
          <w:color w:val="auto"/>
          <w:u w:val="none"/>
          <w:lang w:val="en-US" w:eastAsia="zh-CN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40"/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  <w:t>对2023年度（统计年度）新增且社零增速达到20%以上（含）的“下转上”商贸企业和新开业纳统的商贸企业，省级财政按照不超过地市补助资金的50%给予每家企业叠加奖励，</w:t>
      </w:r>
      <w:r>
        <w:rPr>
          <w:rFonts w:hint="eastAsia" w:eastAsia="仿宋_GB2312" w:cs="Times New Roman"/>
          <w:kern w:val="2"/>
          <w:sz w:val="32"/>
          <w:szCs w:val="20"/>
          <w:u w:val="none"/>
          <w:lang w:val="en-US" w:eastAsia="zh-CN" w:bidi="ar-SA"/>
        </w:rPr>
        <w:t>单家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  <w:t>最高不超过1万元</w:t>
      </w:r>
      <w:r>
        <w:rPr>
          <w:rFonts w:hint="eastAsia" w:eastAsia="仿宋_GB2312" w:cs="Times New Roman"/>
          <w:kern w:val="2"/>
          <w:sz w:val="32"/>
          <w:szCs w:val="20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  <w:t>补助资金</w:t>
      </w:r>
      <w:r>
        <w:rPr>
          <w:rFonts w:hint="eastAsia" w:eastAsia="仿宋_GB2312" w:cs="Times New Roman"/>
          <w:kern w:val="2"/>
          <w:sz w:val="32"/>
          <w:szCs w:val="20"/>
          <w:u w:val="none"/>
          <w:lang w:val="en-US" w:eastAsia="zh-CN" w:bidi="ar-SA"/>
        </w:rPr>
        <w:t>总额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  <w:t>不超过1000万元。上述奖励由</w:t>
      </w:r>
      <w:r>
        <w:rPr>
          <w:rFonts w:hint="eastAsia" w:eastAsia="仿宋_GB2312" w:cs="Times New Roman"/>
          <w:kern w:val="2"/>
          <w:sz w:val="32"/>
          <w:szCs w:val="20"/>
          <w:u w:val="none"/>
          <w:lang w:val="en-US" w:eastAsia="zh-CN" w:bidi="ar-SA"/>
        </w:rPr>
        <w:t>泉州市商务局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  <w:t>向统计部门核实后统一行文申报省商务厅，企业免申即享。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baseline"/>
        <w:rPr>
          <w:rStyle w:val="11"/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11"/>
          <w:rFonts w:hint="eastAsia" w:eastAsia="黑体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三</w:t>
      </w:r>
      <w:r>
        <w:rPr>
          <w:rStyle w:val="11"/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40"/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  <w:t>（一）鼓励商贸企业“下转上”中，符合条件的企业是指福建省内登记注册、具有独立法人资格，且纳入国家统计局联网直报，每月按时报送零售额的限额以上商贸企业。相关单位及其法定代表人、实际控制人、董事、监事、高级管理人员未被列为失信被执行人、涉黑涉恶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40"/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  <w:t>（二）鼓励商贸企业“下转上”是在地市（含区县）已补助基础上给予的叠加奖励，地市（含区县）已补助的资金不能是省级商务发展性资金。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40"/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  <w:t>（三）“2023年度（统计年度）”对象是指2023年首次在统计联网平台报数的“下转上”企业和新开业纳统企业，包括2022年年底申报入库的和2023年月度新增入库的企业。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baseline"/>
        <w:rPr>
          <w:rStyle w:val="11"/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11"/>
          <w:rFonts w:hint="eastAsia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四</w:t>
      </w:r>
      <w:r>
        <w:rPr>
          <w:rStyle w:val="11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40"/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  <w:t>（一）县级商务、财政联合正式行文</w:t>
      </w:r>
      <w:r>
        <w:rPr>
          <w:rFonts w:hint="eastAsia" w:eastAsia="仿宋_GB2312" w:cs="Times New Roman"/>
          <w:kern w:val="2"/>
          <w:sz w:val="32"/>
          <w:szCs w:val="20"/>
          <w:u w:val="none"/>
          <w:lang w:val="en-US" w:eastAsia="zh-CN" w:bidi="ar-SA"/>
        </w:rPr>
        <w:t>上报市商务局、财政局。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40"/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  <w:t>（二）符合“下转上”申报条件的</w:t>
      </w:r>
      <w:r>
        <w:rPr>
          <w:rFonts w:hint="eastAsia" w:eastAsia="仿宋_GB2312" w:cs="Times New Roman"/>
          <w:kern w:val="2"/>
          <w:sz w:val="32"/>
          <w:szCs w:val="20"/>
          <w:u w:val="none"/>
          <w:lang w:val="en-US" w:eastAsia="zh-CN" w:bidi="ar-SA"/>
        </w:rPr>
        <w:t>县（市、区）需报送已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  <w:t>出台的“下转上”政策文件、资金申报通知文件，以及政策资金兑现的核拨文件</w:t>
      </w:r>
      <w:r>
        <w:rPr>
          <w:rFonts w:hint="eastAsia" w:eastAsia="仿宋_GB2312" w:cs="Times New Roman"/>
          <w:kern w:val="2"/>
          <w:sz w:val="32"/>
          <w:szCs w:val="20"/>
          <w:u w:val="none"/>
          <w:lang w:val="en-US" w:eastAsia="zh-CN" w:bidi="ar-SA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baseline"/>
        <w:rPr>
          <w:rStyle w:val="11"/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11"/>
          <w:rFonts w:hint="eastAsia" w:eastAsia="黑体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五</w:t>
      </w:r>
      <w:r>
        <w:rPr>
          <w:rStyle w:val="11"/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、申报程序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40"/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  <w:t>各县（市、区）商务、财政部门于2024年2月</w:t>
      </w:r>
      <w:r>
        <w:rPr>
          <w:rFonts w:hint="eastAsia" w:eastAsia="仿宋_GB2312" w:cs="Times New Roman"/>
          <w:kern w:val="2"/>
          <w:sz w:val="32"/>
          <w:szCs w:val="20"/>
          <w:u w:val="none"/>
          <w:lang w:val="en-US" w:eastAsia="zh-CN" w:bidi="ar-SA"/>
        </w:rPr>
        <w:t>28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  <w:t>日前联合行文和申报材料（一式</w:t>
      </w:r>
      <w:r>
        <w:rPr>
          <w:rFonts w:hint="eastAsia" w:eastAsia="仿宋_GB2312" w:cs="Times New Roman"/>
          <w:kern w:val="2"/>
          <w:sz w:val="32"/>
          <w:szCs w:val="20"/>
          <w:u w:val="none"/>
          <w:lang w:val="en-US" w:eastAsia="zh-CN" w:bidi="ar-SA"/>
        </w:rPr>
        <w:t>二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  <w:t>份）报送市商务局</w:t>
      </w:r>
      <w:r>
        <w:rPr>
          <w:rFonts w:hint="eastAsia" w:eastAsia="仿宋_GB2312" w:cs="Times New Roman"/>
          <w:kern w:val="2"/>
          <w:sz w:val="32"/>
          <w:szCs w:val="20"/>
          <w:u w:val="none"/>
          <w:lang w:val="en-US" w:eastAsia="zh-CN" w:bidi="ar-SA"/>
        </w:rPr>
        <w:t>、市财政局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  <w:t>，以便汇总审核转报省商务厅</w:t>
      </w:r>
      <w:r>
        <w:rPr>
          <w:rFonts w:hint="eastAsia" w:eastAsia="仿宋_GB2312" w:cs="Times New Roman"/>
          <w:kern w:val="2"/>
          <w:sz w:val="32"/>
          <w:szCs w:val="20"/>
          <w:u w:val="none"/>
          <w:lang w:val="en-US" w:eastAsia="zh-CN" w:bidi="ar-SA"/>
        </w:rPr>
        <w:t>。省商务厅、财政厅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u w:val="none"/>
          <w:lang w:val="en-US" w:eastAsia="zh-CN" w:bidi="ar-SA"/>
        </w:rPr>
        <w:t>将按有关规定对奖励对象进行审定，按照审定结果拨付资金。任何单位不得挤占、截留、挪用专项资金。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ZTk1ZmRjMTliMWVkOTJmYWI3YWU2Y2Q5YzNlZTAifQ=="/>
  </w:docVars>
  <w:rsids>
    <w:rsidRoot w:val="00000000"/>
    <w:rsid w:val="02FE6F08"/>
    <w:rsid w:val="6BFA79B6"/>
    <w:rsid w:val="7910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color w:val="000000"/>
      <w:sz w:val="18"/>
      <w:szCs w:val="18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9">
    <w:name w:val="Normal New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customStyle="1" w:styleId="10">
    <w:name w:val="UserStyle_12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762</Characters>
  <Lines>0</Lines>
  <Paragraphs>0</Paragraphs>
  <TotalTime>0</TotalTime>
  <ScaleCrop>false</ScaleCrop>
  <LinksUpToDate>false</LinksUpToDate>
  <CharactersWithSpaces>762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2023-06-02T08:27:00Z</dcterms:created>
  <dc:creator>Administrator</dc:creator>
  <cp:lastModifiedBy>o o o o o</cp:lastModifiedBy>
  <dcterms:modified xsi:type="dcterms:W3CDTF">2023-07-24T08:28:48Z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5EBDB48CA9F44637B7BBD838E70F8D48_12</vt:lpwstr>
  </property>
</Properties>
</file>