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8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 w14:paraId="0C612C15">
      <w:pPr>
        <w:pStyle w:val="7"/>
        <w:rPr>
          <w:rFonts w:hint="default"/>
          <w:lang w:val="en-US" w:eastAsia="zh-CN"/>
        </w:rPr>
      </w:pPr>
    </w:p>
    <w:p w14:paraId="5A7D38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年第三批渔业专项资金（组织参展）安排表</w:t>
      </w:r>
    </w:p>
    <w:bookmarkEnd w:id="0"/>
    <w:p w14:paraId="540481A2">
      <w:pPr>
        <w:pStyle w:val="7"/>
        <w:ind w:firstLine="5460" w:firstLineChars="260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9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79"/>
        <w:gridCol w:w="3257"/>
        <w:gridCol w:w="2638"/>
        <w:gridCol w:w="1457"/>
      </w:tblGrid>
      <w:tr w14:paraId="445E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乡镇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实施单位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建设地点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补助</w:t>
            </w:r>
            <w:r>
              <w:rPr>
                <w:rStyle w:val="11"/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资金</w:t>
            </w: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 w:bidi="ar"/>
              </w:rPr>
              <w:t>（万元）</w:t>
            </w:r>
          </w:p>
        </w:tc>
      </w:tr>
      <w:tr w14:paraId="4044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福建泉州市渔豪汇食品有限公司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184E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福建誉名肴食品有限责任公司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031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  <w:t>泉州鑫泰食品有限公司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F8C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26F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  <w:lang w:eastAsia="zh-CN"/>
              </w:rPr>
              <w:t>福建泉鼎食品有限公司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E69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泉州协昌食品有限公司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C06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福建省九道生物科技有限公司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2024年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第27届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中国国际渔业博览会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81A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合计：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</w:tbl>
    <w:p w14:paraId="1CD07A55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BC4B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787E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53E4"/>
    <w:rsid w:val="282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2024-12-13T07:50:00Z</dcterms:created>
  <dc:creator>Administrator</dc:creator>
  <cp:lastModifiedBy>Administrator</cp:lastModifiedBy>
  <dcterms:modified xsi:type="dcterms:W3CDTF">2024-12-13T07:50:58Z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C65380479DC74ED49B5B540F03B46F87_11</vt:lpwstr>
  </property>
</Properties>
</file>