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09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05FDD6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南安市农业冷链物流</w:t>
      </w:r>
      <w:r>
        <w:rPr>
          <w:rFonts w:ascii="方正小标宋简体" w:hAnsi="Calibri" w:eastAsia="方正小标宋简体"/>
          <w:sz w:val="44"/>
          <w:szCs w:val="44"/>
        </w:rPr>
        <w:t>设施</w:t>
      </w:r>
      <w:r>
        <w:rPr>
          <w:rFonts w:hint="eastAsia" w:ascii="方正小标宋简体" w:hAnsi="Calibri" w:eastAsia="方正小标宋简体"/>
          <w:sz w:val="44"/>
          <w:szCs w:val="44"/>
        </w:rPr>
        <w:t>提升行动专项实施</w:t>
      </w:r>
    </w:p>
    <w:p w14:paraId="6033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Calibri" w:eastAsia="方正小标宋简体" w:cs="方正仿宋_GBK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方案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（2023</w:t>
      </w:r>
      <w:r>
        <w:rPr>
          <w:rFonts w:hint="eastAsia" w:ascii="方正小标宋简体" w:eastAsia="方正小标宋简体" w:cs="方正仿宋_GBK"/>
          <w:sz w:val="44"/>
          <w:szCs w:val="44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2030年）</w:t>
      </w:r>
    </w:p>
    <w:bookmarkEnd w:id="0"/>
    <w:p w14:paraId="72B0CA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eastAsia="宋体"/>
        </w:rPr>
      </w:pPr>
    </w:p>
    <w:p w14:paraId="33E6CF6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ascii="黑体" w:eastAsia="黑体" w:cs="楷体_GB2312"/>
        </w:rPr>
      </w:pPr>
      <w:r>
        <w:rPr>
          <w:rFonts w:hint="eastAsia" w:ascii="黑体" w:eastAsia="黑体" w:cs="方正黑体_GBK"/>
        </w:rPr>
        <w:t>一、</w:t>
      </w:r>
      <w:r>
        <w:rPr>
          <w:rFonts w:ascii="黑体" w:eastAsia="黑体" w:cs="楷体"/>
        </w:rPr>
        <w:t>总体要求</w:t>
      </w:r>
    </w:p>
    <w:p w14:paraId="61755C3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</w:rPr>
        <w:t>以习近平新时代中国特色社会主义思想为指导，深入贯彻新发展理念，加快构建新发展格局，坚持保供固安全、振兴畅循环的工作定位，聚焦</w:t>
      </w:r>
      <w:r>
        <w:rPr>
          <w:rFonts w:hint="default" w:ascii="Times New Roman" w:hAnsi="Times New Roman" w:eastAsia="方正仿宋_GBK" w:cs="Times New Roman"/>
        </w:rPr>
        <w:t>蔬菜、水果、茶叶、食用菌、中药材等南安特色优势农产品，建设产地仓储保鲜冷链物流设施</w:t>
      </w:r>
      <w:r>
        <w:rPr>
          <w:rFonts w:hint="default" w:ascii="Times New Roman" w:hAnsi="Times New Roman" w:eastAsia="方正仿宋_GBK" w:cs="Times New Roman"/>
          <w:bCs/>
        </w:rPr>
        <w:t>，提升技术装备水平，完善服务保障机制，强化运营管理能力，</w:t>
      </w:r>
      <w:r>
        <w:rPr>
          <w:rFonts w:hint="default" w:ascii="Times New Roman" w:hAnsi="Times New Roman" w:eastAsia="方正仿宋_GBK" w:cs="Times New Roman"/>
          <w:color w:val="000000"/>
        </w:rPr>
        <w:t>畅通鲜活农产品末端冷链微循环，为服务乡村产业、提高农民收入、增强市场稳定性、保障农产品有效供给提供有力支撑。</w:t>
      </w:r>
    </w:p>
    <w:p w14:paraId="27F647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Calibri" w:eastAsia="黑体" w:cs="楷体_GB2312"/>
        </w:rPr>
      </w:pPr>
      <w:r>
        <w:rPr>
          <w:rFonts w:hint="eastAsia" w:ascii="黑体" w:hAnsi="Calibri" w:eastAsia="黑体" w:cs="楷体_GB2312"/>
        </w:rPr>
        <w:t>二、</w:t>
      </w:r>
      <w:r>
        <w:rPr>
          <w:rFonts w:ascii="黑体" w:hAnsi="Calibri" w:eastAsia="黑体" w:cs="楷体_GB2312"/>
        </w:rPr>
        <w:t>发展目标</w:t>
      </w:r>
    </w:p>
    <w:p w14:paraId="4DF7778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Cs/>
        </w:rPr>
        <w:t>到2025年，重点建设2个农产品产地冷藏保鲜设施、1个农产品产地冷链集配中心，实现新增产地冷藏保鲜设施库容270立方米。</w:t>
      </w:r>
    </w:p>
    <w:p w14:paraId="4308EE1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Cs/>
        </w:rPr>
        <w:t>到2030年，累计建成重点建设14个农产品产地冷藏保鲜设施、2个农产品产地冷链集配中心，实现产地冷藏保鲜设施库容2700立方米以上，全市基本形成布局完善、结构合理、设施先进、标准健全、绿色智慧的农产品产地仓储保鲜冷链物流设施体系。</w:t>
      </w:r>
    </w:p>
    <w:p w14:paraId="5F8387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Calibri" w:eastAsia="黑体" w:cs="方正黑体_GBK"/>
        </w:rPr>
      </w:pPr>
      <w:r>
        <w:rPr>
          <w:rFonts w:hint="eastAsia" w:ascii="黑体" w:hAnsi="Calibri" w:eastAsia="黑体" w:cs="方正黑体_GBK"/>
        </w:rPr>
        <w:t>三、重点</w:t>
      </w:r>
      <w:r>
        <w:rPr>
          <w:rFonts w:ascii="黑体" w:hAnsi="Calibri" w:eastAsia="黑体" w:cs="方正黑体_GBK"/>
        </w:rPr>
        <w:t>任务</w:t>
      </w:r>
    </w:p>
    <w:p w14:paraId="6B26DD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（一）建设农产品产地冷藏保鲜设施</w:t>
      </w:r>
    </w:p>
    <w:p w14:paraId="7883625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/>
          <w:bCs w:val="0"/>
        </w:rPr>
        <w:t>1.建设目标。</w:t>
      </w:r>
      <w:r>
        <w:rPr>
          <w:rFonts w:hint="eastAsia" w:ascii="Times New Roman" w:hAnsi="Times New Roman" w:eastAsia="方正仿宋_GBK" w:cs="Times New Roman"/>
          <w:bCs/>
        </w:rPr>
        <w:t>在重点镇和中心村，按照经济适用、规模适度、节能环保的要求，布局建设农产品产地冷藏保鲜设施，实现生鲜农产品择期销售、减损增效。</w:t>
      </w:r>
    </w:p>
    <w:p w14:paraId="4AFCC8A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/>
          <w:bCs w:val="0"/>
        </w:rPr>
        <w:t>2.重点建设任务。</w:t>
      </w:r>
      <w:r>
        <w:rPr>
          <w:rFonts w:hint="eastAsia" w:ascii="Times New Roman" w:hAnsi="Times New Roman" w:eastAsia="方正仿宋_GBK" w:cs="Times New Roman"/>
          <w:bCs/>
        </w:rPr>
        <w:t>重点支持建设预冷库（含压差式预冷库）、冷藏库，完善净化、预冷、分选、分级、包装等初加工设施设备，鼓励发展移动式冷库。</w:t>
      </w:r>
    </w:p>
    <w:p w14:paraId="735327E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/>
          <w:bCs w:val="0"/>
        </w:rPr>
        <w:t>——预冷库（含压差式预冷库）。</w:t>
      </w:r>
      <w:r>
        <w:rPr>
          <w:rFonts w:hint="eastAsia" w:ascii="Times New Roman" w:hAnsi="Times New Roman" w:eastAsia="方正仿宋_GBK" w:cs="Times New Roman"/>
          <w:bCs/>
        </w:rPr>
        <w:t>主要用于采收的新鲜水果和蔬菜在贮藏、运输或加工前迅速去除田间热和呼吸热。</w:t>
      </w:r>
    </w:p>
    <w:p w14:paraId="117CA35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/>
          <w:bCs w:val="0"/>
        </w:rPr>
        <w:t>——冷藏库。</w:t>
      </w:r>
      <w:r>
        <w:rPr>
          <w:rFonts w:hint="eastAsia" w:ascii="Times New Roman" w:hAnsi="Times New Roman" w:eastAsia="方正仿宋_GBK" w:cs="Times New Roman"/>
          <w:bCs/>
        </w:rPr>
        <w:t>包括高温冷藏库、气调冷藏库和低温冷藏库三个类型。高温冷藏库一般用于果蔬贮藏；气调冷藏库配有碳分子筛制氮机、中空纤维膜制氮机、乙烯脱除器等专用设备，可调节冷库气体浓度和组分，主要用于商品附加值较高的产品贮藏；低温冷藏库适用于速冻蔬菜贮藏。</w:t>
      </w:r>
    </w:p>
    <w:p w14:paraId="789964D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Cs/>
        </w:rPr>
      </w:pPr>
      <w:r>
        <w:rPr>
          <w:rFonts w:hint="eastAsia" w:ascii="Times New Roman" w:hAnsi="Times New Roman" w:eastAsia="方正仿宋_GBK" w:cs="Times New Roman"/>
          <w:b/>
          <w:bCs w:val="0"/>
        </w:rPr>
        <w:t>——商品化处理设备。</w:t>
      </w:r>
      <w:r>
        <w:rPr>
          <w:rFonts w:hint="eastAsia" w:ascii="Times New Roman" w:hAnsi="Times New Roman" w:eastAsia="方正仿宋_GBK" w:cs="Times New Roman"/>
          <w:bCs/>
        </w:rPr>
        <w:t>包括农产品分等分级、包装清洗、移动货架、信息采集等配套设备。</w:t>
      </w:r>
    </w:p>
    <w:p w14:paraId="3B0486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（二）发展农产品产地冷链物流集配中心</w:t>
      </w:r>
    </w:p>
    <w:p w14:paraId="4ADD80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1.建设目标。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在县域重要流通节点，按照区位优势突出、服务功能衔接的要求，建设布局农产品产地冷链物流集配中心，增强产地冷链物流综合服务能力。</w:t>
      </w:r>
    </w:p>
    <w:p w14:paraId="57024E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2.重点建设任务。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建设集集货、预冷、分选、加工、冷藏、发货、检测、收储、信息等功能于一体的产地冷链集配中心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提高农产品产后集散和商品化处理效率。</w:t>
      </w:r>
    </w:p>
    <w:p w14:paraId="4B8F1E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——主体依托型产地冷链集配中心。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主要依托农业社会化服务组织、龙头企业、国有农场、流通企业等主体,重点强化仓储保鲜、集散分销及商品化处理等服务能力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建设规模适中的产地冷链集配中心。</w:t>
      </w:r>
    </w:p>
    <w:p w14:paraId="223465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——园区依托型产地冷链集配中心。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主要依托现代农业产业园、加工物流园、电商孵化园等产地园区和农业现代化示范区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重点改造公共冷库设施条件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完善数字化产地仓等设施功能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拓展园区冷链物流服务内容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建设具有平台功能的产地冷链集配中心。</w:t>
      </w:r>
    </w:p>
    <w:p w14:paraId="4468A9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——渠道依托型产地冷链集配中心。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主要依托供销合作社、邮政快递、生鲜电商等渠道,发挥规模、运营、品牌、技术、网络等优势</w:t>
      </w:r>
      <w:r>
        <w:rPr>
          <w:rFonts w:hint="eastAsia" w:eastAsia="方正仿宋_GBK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共建共享共用产地冷链集配中心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3603625</wp:posOffset>
                </wp:positionH>
                <wp:positionV relativeFrom="page">
                  <wp:posOffset>9467850</wp:posOffset>
                </wp:positionV>
                <wp:extent cx="1979930" cy="73533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4801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75pt;margin-top:745.5pt;height:57.9pt;width:155.9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yvkYs2wAAAA0BAAAPAAAAAAAAAAEAIAAAACIAAABkcnMvZG93bnJldi54&#10;bWxQSwECFAAUAAAACACHTuJAOPzJa74BAACA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4801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6195A877">
      <w:pPr>
        <w:pStyle w:val="2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</w:p>
    <w:p w14:paraId="3F116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2EAB7C66"/>
    <w:rsid w:val="2EA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index 7"/>
    <w:basedOn w:val="1"/>
    <w:next w:val="1"/>
    <w:qFormat/>
    <w:uiPriority w:val="0"/>
    <w:pPr>
      <w:widowControl w:val="0"/>
      <w:ind w:left="2520"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2024-08-28T03:26:00Z</dcterms:created>
  <dc:creator>Administrator</dc:creator>
  <cp:lastModifiedBy>Administrator</cp:lastModifiedBy>
  <dcterms:modified xsi:type="dcterms:W3CDTF">2024-08-28T03:26:31Z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5D6E0CB225C44C0D88298A4B9EFC9EF3_11</vt:lpwstr>
  </property>
</Properties>
</file>