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5176E" w14:textId="60494406" w:rsidR="00D760D8" w:rsidRDefault="00D760D8" w:rsidP="00055507">
      <w:pPr>
        <w:spacing w:line="600" w:lineRule="atLeast"/>
        <w:ind w:firstLineChars="200" w:firstLine="880"/>
        <w:jc w:val="center"/>
        <w:rPr>
          <w:rFonts w:ascii="方正小标宋简体" w:eastAsia="方正小标宋简体" w:hAnsi="方正小标宋简体" w:cs="方正小标宋简体"/>
          <w:bCs/>
          <w:sz w:val="44"/>
          <w:szCs w:val="44"/>
        </w:rPr>
      </w:pPr>
    </w:p>
    <w:p w14:paraId="75C38AB8" w14:textId="69ADAE4D" w:rsidR="00055507" w:rsidRDefault="00055507" w:rsidP="00055507">
      <w:pPr>
        <w:pStyle w:val="2"/>
        <w:spacing w:line="600" w:lineRule="atLeast"/>
      </w:pPr>
    </w:p>
    <w:p w14:paraId="4704AABF" w14:textId="19173502" w:rsidR="00055507" w:rsidRDefault="00055507" w:rsidP="00055507">
      <w:pPr>
        <w:pStyle w:val="6"/>
        <w:spacing w:line="600" w:lineRule="atLeast"/>
      </w:pPr>
    </w:p>
    <w:p w14:paraId="29A0B078" w14:textId="149EA418" w:rsidR="00055507" w:rsidRDefault="00055507" w:rsidP="00055507">
      <w:pPr>
        <w:pStyle w:val="6"/>
        <w:spacing w:line="600" w:lineRule="atLeast"/>
      </w:pPr>
    </w:p>
    <w:p w14:paraId="2509DE8C" w14:textId="06AB72AF" w:rsidR="00055507" w:rsidRDefault="00055507" w:rsidP="00055507">
      <w:pPr>
        <w:spacing w:line="600" w:lineRule="atLeast"/>
      </w:pPr>
    </w:p>
    <w:p w14:paraId="7A5B6489" w14:textId="1F2CC81E" w:rsidR="00055507" w:rsidRDefault="00055507" w:rsidP="00055507">
      <w:pPr>
        <w:pStyle w:val="2"/>
        <w:spacing w:line="600" w:lineRule="atLeast"/>
      </w:pPr>
    </w:p>
    <w:p w14:paraId="1405F38E" w14:textId="77777777" w:rsidR="00055507" w:rsidRPr="00055507" w:rsidRDefault="00055507" w:rsidP="00055507">
      <w:pPr>
        <w:pStyle w:val="6"/>
        <w:spacing w:line="600" w:lineRule="atLeast"/>
        <w:rPr>
          <w:rFonts w:hint="eastAsia"/>
        </w:rPr>
      </w:pPr>
    </w:p>
    <w:p w14:paraId="6457FE94" w14:textId="0A0A80B7" w:rsidR="00055507" w:rsidRPr="00055507" w:rsidRDefault="00055507" w:rsidP="00055507">
      <w:pPr>
        <w:pStyle w:val="2"/>
        <w:spacing w:line="600" w:lineRule="atLeast"/>
        <w:ind w:firstLineChars="0" w:firstLine="0"/>
        <w:jc w:val="center"/>
        <w:rPr>
          <w:rFonts w:ascii="FangSong_GB2312" w:eastAsia="FangSong_GB2312" w:hAnsi="FangSong_GB2312" w:cs="FangSong_GB2312" w:hint="eastAsia"/>
          <w:bCs/>
          <w:sz w:val="32"/>
          <w:szCs w:val="32"/>
        </w:rPr>
      </w:pPr>
      <w:r w:rsidRPr="00055507">
        <w:rPr>
          <w:rFonts w:ascii="FangSong_GB2312" w:eastAsia="FangSong_GB2312" w:hAnsi="FangSong_GB2312" w:cs="FangSong_GB2312" w:hint="eastAsia"/>
          <w:bCs/>
          <w:sz w:val="32"/>
          <w:szCs w:val="32"/>
        </w:rPr>
        <w:t>泉工信科技</w:t>
      </w:r>
      <w:r w:rsidRPr="00055507">
        <w:rPr>
          <w:rFonts w:ascii="FangSong_GB2312" w:eastAsia="FangSong_GB2312" w:hAnsi="FangSong_GB2312" w:cs="FangSong_GB2312"/>
          <w:bCs/>
          <w:sz w:val="32"/>
          <w:szCs w:val="32"/>
        </w:rPr>
        <w:t>〔2025〕</w:t>
      </w:r>
      <w:r w:rsidRPr="00055507">
        <w:rPr>
          <w:rFonts w:ascii="FangSong_GB2312" w:eastAsia="FangSong_GB2312" w:hAnsi="FangSong_GB2312" w:cs="FangSong_GB2312"/>
          <w:bCs/>
          <w:sz w:val="32"/>
          <w:szCs w:val="32"/>
        </w:rPr>
        <w:t>19</w:t>
      </w:r>
      <w:r w:rsidRPr="00055507">
        <w:rPr>
          <w:rFonts w:ascii="FangSong_GB2312" w:eastAsia="FangSong_GB2312" w:hAnsi="FangSong_GB2312" w:cs="FangSong_GB2312"/>
          <w:bCs/>
          <w:sz w:val="32"/>
          <w:szCs w:val="32"/>
        </w:rPr>
        <w:t>号</w:t>
      </w:r>
    </w:p>
    <w:p w14:paraId="7D80C8B3" w14:textId="77777777" w:rsidR="00D760D8" w:rsidRDefault="00D760D8" w:rsidP="00055507">
      <w:pPr>
        <w:pStyle w:val="a3"/>
        <w:spacing w:after="0" w:line="600" w:lineRule="atLeast"/>
      </w:pPr>
    </w:p>
    <w:p w14:paraId="50A070E4" w14:textId="2B127172" w:rsidR="00D760D8" w:rsidRPr="00055507" w:rsidRDefault="000F412D" w:rsidP="00055507">
      <w:pPr>
        <w:suppressAutoHyphens/>
        <w:adjustRightInd w:val="0"/>
        <w:snapToGrid w:val="0"/>
        <w:spacing w:line="600" w:lineRule="atLeast"/>
        <w:jc w:val="center"/>
        <w:rPr>
          <w:rFonts w:ascii="FZXiaoBiaoSong-B05S" w:eastAsia="FZXiaoBiaoSong-B05S" w:hAnsi="STZhongsong" w:hint="eastAsia"/>
          <w:sz w:val="44"/>
          <w:szCs w:val="44"/>
        </w:rPr>
      </w:pPr>
      <w:r w:rsidRPr="00055507">
        <w:rPr>
          <w:rFonts w:ascii="FZXiaoBiaoSong-B05S" w:eastAsia="FZXiaoBiaoSong-B05S" w:hAnsi="方正小标宋简体" w:cs="方正小标宋简体" w:hint="eastAsia"/>
          <w:bCs/>
          <w:sz w:val="44"/>
          <w:szCs w:val="44"/>
        </w:rPr>
        <w:t>泉州市</w:t>
      </w:r>
      <w:r w:rsidR="00E11B9E" w:rsidRPr="00055507">
        <w:rPr>
          <w:rFonts w:ascii="FZXiaoBiaoSong-B05S" w:eastAsia="FZXiaoBiaoSong-B05S" w:hAnsi="方正小标宋简体" w:cs="方正小标宋简体" w:hint="eastAsia"/>
          <w:bCs/>
          <w:sz w:val="44"/>
          <w:szCs w:val="44"/>
        </w:rPr>
        <w:t>工业和信息化</w:t>
      </w:r>
      <w:r w:rsidRPr="00055507">
        <w:rPr>
          <w:rFonts w:ascii="FZXiaoBiaoSong-B05S" w:eastAsia="FZXiaoBiaoSong-B05S" w:hAnsi="方正小标宋简体" w:cs="方正小标宋简体" w:hint="eastAsia"/>
          <w:bCs/>
          <w:sz w:val="44"/>
          <w:szCs w:val="44"/>
        </w:rPr>
        <w:t>局</w:t>
      </w:r>
      <w:r w:rsidRPr="00055507">
        <w:rPr>
          <w:rFonts w:ascii="FZXiaoBiaoSong-B05S" w:eastAsia="FZXiaoBiaoSong-B05S" w:hAnsi="STZhongsong" w:hint="eastAsia"/>
          <w:sz w:val="44"/>
          <w:szCs w:val="44"/>
        </w:rPr>
        <w:t>关于做好</w:t>
      </w:r>
    </w:p>
    <w:p w14:paraId="3617AA07" w14:textId="77777777" w:rsidR="00D760D8" w:rsidRDefault="000F412D" w:rsidP="00055507">
      <w:pPr>
        <w:suppressAutoHyphens/>
        <w:adjustRightInd w:val="0"/>
        <w:snapToGrid w:val="0"/>
        <w:spacing w:line="600" w:lineRule="atLeast"/>
        <w:jc w:val="center"/>
        <w:rPr>
          <w:rFonts w:ascii="方正小标宋简体" w:eastAsia="方正小标宋简体" w:hAnsi="方正小标宋简体" w:cs="方正小标宋简体"/>
          <w:bCs/>
          <w:sz w:val="44"/>
          <w:szCs w:val="44"/>
        </w:rPr>
      </w:pPr>
      <w:r w:rsidRPr="00055507">
        <w:rPr>
          <w:rFonts w:ascii="FZXiaoBiaoSong-B05S" w:eastAsia="FZXiaoBiaoSong-B05S" w:hAnsi="STZhongsong" w:hint="eastAsia"/>
          <w:sz w:val="44"/>
          <w:szCs w:val="44"/>
        </w:rPr>
        <w:t>2025年省重点技改项目申报工作的通知</w:t>
      </w:r>
    </w:p>
    <w:p w14:paraId="44E2A828" w14:textId="77777777" w:rsidR="00D760D8" w:rsidRDefault="00D760D8" w:rsidP="00055507">
      <w:pPr>
        <w:pStyle w:val="a3"/>
        <w:spacing w:after="0" w:line="600" w:lineRule="atLeast"/>
        <w:ind w:firstLineChars="200" w:firstLine="640"/>
        <w:rPr>
          <w:rFonts w:ascii="FangSong_GB2312" w:eastAsia="FangSong_GB2312" w:hAnsi="FangSong_GB2312" w:cs="FangSong_GB2312"/>
          <w:bCs/>
          <w:sz w:val="32"/>
          <w:szCs w:val="32"/>
        </w:rPr>
      </w:pPr>
    </w:p>
    <w:p w14:paraId="4659E9A9" w14:textId="77777777" w:rsidR="00D760D8" w:rsidRDefault="000F412D" w:rsidP="00055507">
      <w:pPr>
        <w:pStyle w:val="a3"/>
        <w:spacing w:after="0" w:line="600" w:lineRule="atLeast"/>
        <w:rPr>
          <w:rFonts w:ascii="FangSong_GB2312" w:eastAsia="FangSong_GB2312" w:hAnsi="FangSong_GB2312" w:cs="FangSong_GB2312"/>
          <w:bCs/>
          <w:sz w:val="32"/>
          <w:szCs w:val="32"/>
        </w:rPr>
      </w:pPr>
      <w:r>
        <w:rPr>
          <w:rFonts w:ascii="FangSong_GB2312" w:eastAsia="FangSong_GB2312" w:hAnsi="FangSong_GB2312" w:cs="FangSong_GB2312" w:hint="eastAsia"/>
          <w:bCs/>
          <w:sz w:val="32"/>
          <w:szCs w:val="32"/>
        </w:rPr>
        <w:t>各县（市、区）工信（工信商务、工信科技）局，泉州开发区、泉州台商投资区科经局：</w:t>
      </w:r>
    </w:p>
    <w:p w14:paraId="0265DE27" w14:textId="77777777" w:rsidR="00D760D8" w:rsidRDefault="000F412D" w:rsidP="00055507">
      <w:pPr>
        <w:suppressAutoHyphens/>
        <w:spacing w:line="600" w:lineRule="atLeast"/>
        <w:ind w:firstLineChars="200" w:firstLine="640"/>
        <w:rPr>
          <w:rFonts w:ascii="FangSong_GB2312" w:eastAsia="FangSong_GB2312" w:hAnsi="FangSong_GB2312" w:cs="FangSong_GB2312"/>
          <w:bCs/>
          <w:sz w:val="32"/>
          <w:szCs w:val="32"/>
        </w:rPr>
      </w:pPr>
      <w:r>
        <w:rPr>
          <w:rFonts w:ascii="FangSong_GB2312" w:eastAsia="FangSong_GB2312" w:hAnsi="FangSong_GB2312" w:cs="FangSong_GB2312" w:hint="eastAsia"/>
          <w:bCs/>
          <w:sz w:val="32"/>
          <w:szCs w:val="32"/>
        </w:rPr>
        <w:t>根据《福建省工业和信息化厅关于做好2025年省重点技改项目申报工作的通知》（</w:t>
      </w:r>
      <w:r>
        <w:rPr>
          <w:rFonts w:ascii="FangSong_GB2312" w:eastAsia="FangSong_GB2312" w:hAnsi="SimSun" w:cs="FangSong_GB2312"/>
          <w:color w:val="000000"/>
          <w:kern w:val="0"/>
          <w:sz w:val="32"/>
          <w:szCs w:val="32"/>
          <w:lang w:bidi="ar"/>
        </w:rPr>
        <w:t>闽工信函投资〔2025〕38号</w:t>
      </w:r>
      <w:r>
        <w:rPr>
          <w:rFonts w:ascii="FangSong_GB2312" w:eastAsia="FangSong_GB2312" w:hAnsi="FangSong_GB2312" w:cs="FangSong_GB2312" w:hint="eastAsia"/>
          <w:bCs/>
          <w:sz w:val="32"/>
          <w:szCs w:val="32"/>
        </w:rPr>
        <w:t>），现将有关事项通知如下：</w:t>
      </w:r>
    </w:p>
    <w:p w14:paraId="190824E9" w14:textId="77777777" w:rsidR="00D760D8" w:rsidRDefault="000F412D" w:rsidP="00055507">
      <w:pPr>
        <w:suppressAutoHyphens/>
        <w:adjustRightInd w:val="0"/>
        <w:snapToGrid w:val="0"/>
        <w:spacing w:line="600" w:lineRule="atLeast"/>
        <w:ind w:firstLineChars="200" w:firstLine="640"/>
        <w:rPr>
          <w:rFonts w:ascii="SimHei" w:eastAsia="SimHei" w:hAnsi="Times New Roman"/>
          <w:sz w:val="32"/>
          <w:szCs w:val="32"/>
        </w:rPr>
      </w:pPr>
      <w:r>
        <w:rPr>
          <w:rFonts w:ascii="SimHei" w:eastAsia="SimHei" w:hAnsi="Times New Roman" w:hint="eastAsia"/>
          <w:sz w:val="32"/>
          <w:szCs w:val="32"/>
        </w:rPr>
        <w:t>一、项目范围</w:t>
      </w:r>
    </w:p>
    <w:p w14:paraId="687CAE99" w14:textId="77777777" w:rsidR="00D760D8" w:rsidRDefault="000F412D" w:rsidP="00055507">
      <w:pPr>
        <w:suppressAutoHyphens/>
        <w:spacing w:line="600" w:lineRule="atLeast"/>
        <w:ind w:firstLineChars="200" w:firstLine="643"/>
        <w:rPr>
          <w:rFonts w:ascii="FangSong_GB2312" w:eastAsia="FangSong_GB2312" w:hAnsi="FangSong_GB2312" w:cs="FangSong_GB2312"/>
          <w:sz w:val="32"/>
          <w:szCs w:val="32"/>
        </w:rPr>
      </w:pPr>
      <w:r>
        <w:rPr>
          <w:rFonts w:ascii="KaiTi_GB2312" w:eastAsia="KaiTi_GB2312" w:hAnsi="KaiTi_GB2312" w:cs="KaiTi_GB2312" w:hint="eastAsia"/>
          <w:b/>
          <w:bCs/>
          <w:sz w:val="32"/>
          <w:szCs w:val="32"/>
        </w:rPr>
        <w:t>（一）产业项目。</w:t>
      </w:r>
      <w:r>
        <w:rPr>
          <w:rFonts w:ascii="FangSong_GB2312" w:eastAsia="FangSong_GB2312" w:hAnsi="FangSong_GB2312" w:cs="FangSong_GB2312" w:hint="eastAsia"/>
          <w:sz w:val="32"/>
          <w:szCs w:val="32"/>
        </w:rPr>
        <w:t>支持企业运用新技术、新工艺、新设备、新材料，对现有生产设施、生产工艺条件、生产环境等进行改造提升，推动高端化、智能化、绿色化发展。重点围绕产业基础再造、传统产业改造升级、支柱产业巩固提升、</w:t>
      </w:r>
      <w:r>
        <w:rPr>
          <w:rFonts w:ascii="FangSong_GB2312" w:eastAsia="FangSong_GB2312" w:hAnsi="FangSong_GB2312" w:cs="FangSong_GB2312" w:hint="eastAsia"/>
          <w:sz w:val="32"/>
          <w:szCs w:val="32"/>
        </w:rPr>
        <w:lastRenderedPageBreak/>
        <w:t>县域产业链做大做强、新产业新赛道培育等。</w:t>
      </w:r>
    </w:p>
    <w:p w14:paraId="12431E05" w14:textId="77777777" w:rsidR="00D760D8" w:rsidRDefault="000F412D" w:rsidP="00055507">
      <w:pPr>
        <w:suppressAutoHyphens/>
        <w:adjustRightInd w:val="0"/>
        <w:snapToGrid w:val="0"/>
        <w:spacing w:line="600" w:lineRule="atLeast"/>
        <w:ind w:firstLineChars="200" w:firstLine="643"/>
      </w:pPr>
      <w:r>
        <w:rPr>
          <w:rFonts w:ascii="KaiTi_GB2312" w:eastAsia="KaiTi_GB2312" w:hAnsi="KaiTi_GB2312" w:cs="KaiTi_GB2312" w:hint="eastAsia"/>
          <w:b/>
          <w:bCs/>
          <w:sz w:val="32"/>
          <w:szCs w:val="32"/>
        </w:rPr>
        <w:t>（二）工业（产业）园区标准化建设项目。</w:t>
      </w:r>
      <w:r>
        <w:rPr>
          <w:rFonts w:ascii="FangSong_GB2312" w:eastAsia="FangSong_GB2312" w:hAnsi="FangSong_GB2312" w:cs="FangSong_GB2312" w:hint="eastAsia"/>
          <w:sz w:val="32"/>
          <w:szCs w:val="32"/>
        </w:rPr>
        <w:t>聚焦产业集聚、要素集约</w:t>
      </w:r>
      <w:r>
        <w:rPr>
          <w:rFonts w:ascii="FangSong_GB2312" w:eastAsia="FangSong_GB2312" w:hAnsi="FangSong_GB2312" w:cs="FangSong_GB2312"/>
          <w:sz w:val="32"/>
          <w:szCs w:val="32"/>
        </w:rPr>
        <w:t>，</w:t>
      </w:r>
      <w:r>
        <w:rPr>
          <w:rFonts w:ascii="FangSong_GB2312" w:eastAsia="FangSong_GB2312" w:hAnsi="FangSong_GB2312" w:cs="FangSong_GB2312" w:hint="eastAsia"/>
          <w:sz w:val="32"/>
          <w:szCs w:val="32"/>
        </w:rPr>
        <w:t>完善园区基础设施配套，提高要素资源配置效率，提升园区</w:t>
      </w:r>
      <w:r>
        <w:rPr>
          <w:rFonts w:ascii="FangSong_GB2312" w:eastAsia="FangSong_GB2312" w:hAnsi="FangSong_GB2312" w:cs="FangSong_GB2312"/>
          <w:sz w:val="32"/>
          <w:szCs w:val="32"/>
        </w:rPr>
        <w:t>产业承载能力</w:t>
      </w:r>
      <w:r>
        <w:rPr>
          <w:rFonts w:ascii="FangSong_GB2312" w:eastAsia="FangSong_GB2312" w:hAnsi="FangSong_GB2312" w:cs="FangSong_GB2312" w:hint="eastAsia"/>
          <w:sz w:val="32"/>
          <w:szCs w:val="32"/>
        </w:rPr>
        <w:t>，促进工业企业入园进区，促进产城融合。</w:t>
      </w:r>
    </w:p>
    <w:p w14:paraId="33E351A7" w14:textId="77777777" w:rsidR="00D760D8" w:rsidRDefault="000F412D" w:rsidP="00055507">
      <w:pPr>
        <w:suppressAutoHyphens/>
        <w:adjustRightInd w:val="0"/>
        <w:snapToGrid w:val="0"/>
        <w:spacing w:line="600" w:lineRule="atLeast"/>
        <w:ind w:firstLineChars="200" w:firstLine="643"/>
        <w:rPr>
          <w:rFonts w:ascii="FangSong" w:eastAsia="FangSong" w:hAnsi="FangSong"/>
          <w:sz w:val="32"/>
          <w:szCs w:val="32"/>
        </w:rPr>
      </w:pPr>
      <w:r>
        <w:rPr>
          <w:rFonts w:ascii="KaiTi_GB2312" w:eastAsia="KaiTi_GB2312" w:hAnsi="KaiTi_GB2312" w:cs="KaiTi_GB2312" w:hint="eastAsia"/>
          <w:b/>
          <w:bCs/>
          <w:sz w:val="32"/>
          <w:szCs w:val="32"/>
        </w:rPr>
        <w:t>（三）其它项目。</w:t>
      </w:r>
      <w:r>
        <w:rPr>
          <w:rFonts w:ascii="FangSong_GB2312" w:eastAsia="FangSong_GB2312" w:hAnsi="FangSong_GB2312" w:cs="FangSong_GB2312" w:hint="eastAsia"/>
          <w:sz w:val="32"/>
          <w:szCs w:val="32"/>
        </w:rPr>
        <w:t>工信领域新业态新产业增资扩产项目及有利于推进产业转型升级、提质增效的项目。</w:t>
      </w:r>
    </w:p>
    <w:p w14:paraId="32C0311C" w14:textId="77777777" w:rsidR="00D760D8" w:rsidRDefault="000F412D" w:rsidP="00055507">
      <w:pPr>
        <w:suppressAutoHyphens/>
        <w:adjustRightInd w:val="0"/>
        <w:snapToGrid w:val="0"/>
        <w:spacing w:line="600" w:lineRule="atLeast"/>
        <w:ind w:firstLineChars="200" w:firstLine="640"/>
        <w:rPr>
          <w:rFonts w:ascii="SimHei" w:eastAsia="SimHei" w:hAnsi="Times New Roman"/>
          <w:sz w:val="32"/>
          <w:szCs w:val="32"/>
        </w:rPr>
      </w:pPr>
      <w:r>
        <w:rPr>
          <w:rFonts w:ascii="SimHei" w:eastAsia="SimHei" w:hAnsi="Times New Roman" w:hint="eastAsia"/>
          <w:sz w:val="32"/>
          <w:szCs w:val="32"/>
        </w:rPr>
        <w:t>二、项目条件</w:t>
      </w:r>
    </w:p>
    <w:p w14:paraId="1228D6EB" w14:textId="77777777" w:rsidR="00D760D8" w:rsidRDefault="000F412D" w:rsidP="00055507">
      <w:pPr>
        <w:suppressAutoHyphens/>
        <w:adjustRightInd w:val="0"/>
        <w:snapToGrid w:val="0"/>
        <w:spacing w:line="600" w:lineRule="atLeast"/>
        <w:ind w:firstLineChars="200" w:firstLine="643"/>
        <w:rPr>
          <w:rFonts w:ascii="KaiTi_GB2312" w:eastAsia="KaiTi_GB2312" w:hAnsi="KaiTi_GB2312" w:cs="KaiTi_GB2312"/>
          <w:b/>
          <w:bCs/>
          <w:sz w:val="32"/>
          <w:szCs w:val="32"/>
        </w:rPr>
      </w:pPr>
      <w:r>
        <w:rPr>
          <w:rFonts w:ascii="KaiTi_GB2312" w:eastAsia="KaiTi_GB2312" w:hAnsi="KaiTi_GB2312" w:cs="KaiTi_GB2312" w:hint="eastAsia"/>
          <w:b/>
          <w:bCs/>
          <w:sz w:val="32"/>
          <w:szCs w:val="32"/>
        </w:rPr>
        <w:t>（一）产业项目</w:t>
      </w:r>
    </w:p>
    <w:p w14:paraId="43C99D62" w14:textId="77777777"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1.应符合国家和我省相关产业政策、区域规划布局、市场准入标准、资源开发、能耗与环境管理等要求，非《产业结构调整指导目录（2024年本）》中限制类和淘汰类项目。</w:t>
      </w:r>
    </w:p>
    <w:p w14:paraId="28A7924B" w14:textId="77777777"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2.实施主体应为省内依法生产经营的有关工信领域企业。</w:t>
      </w:r>
    </w:p>
    <w:p w14:paraId="3FA40AFB" w14:textId="77777777"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3.应为技术改造（含扩建、迁建、改建等）项目，已完成核准或备案手续，且处于开工建设阶段。</w:t>
      </w:r>
    </w:p>
    <w:p w14:paraId="134620D1" w14:textId="77777777"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4.总投资2000万元及以上（原省级扶贫开发工作重点县及产业基础再造项目总投资1000万元及以上），其中项目设备（含技术、软件，下同）投资500万元以上。对优质中小企业（含创新型中小企业、专精特新中小企业、专精特新“小巨人”企业）、省级工业龙头企业、省级以上制造业单项冠军企业、福建省产业领军团队所在企业实施的技改项目，以及省级以上工业互联网标杆企业和新一代信息技术与制</w:t>
      </w:r>
      <w:r>
        <w:rPr>
          <w:rFonts w:ascii="FangSong_GB2312" w:eastAsia="FangSong_GB2312" w:hAnsi="FangSong_GB2312" w:cs="FangSong_GB2312" w:hint="eastAsia"/>
          <w:sz w:val="32"/>
          <w:szCs w:val="32"/>
        </w:rPr>
        <w:lastRenderedPageBreak/>
        <w:t>造业融合发展标杆企业实施的数字化技术改造项目不作投资额要求。</w:t>
      </w:r>
    </w:p>
    <w:p w14:paraId="0465BF68" w14:textId="77777777" w:rsidR="00D760D8" w:rsidRDefault="000F412D" w:rsidP="00055507">
      <w:pPr>
        <w:suppressAutoHyphens/>
        <w:adjustRightInd w:val="0"/>
        <w:snapToGrid w:val="0"/>
        <w:spacing w:line="600" w:lineRule="atLeast"/>
        <w:ind w:firstLineChars="200" w:firstLine="643"/>
        <w:rPr>
          <w:rFonts w:ascii="KaiTi" w:eastAsia="KaiTi" w:hAnsi="KaiTi" w:cs="FangSong_GB2312"/>
          <w:b/>
          <w:bCs/>
          <w:sz w:val="32"/>
          <w:szCs w:val="32"/>
        </w:rPr>
      </w:pPr>
      <w:r>
        <w:rPr>
          <w:rFonts w:ascii="KaiTi" w:eastAsia="KaiTi" w:hAnsi="KaiTi" w:cs="FangSong_GB2312" w:hint="eastAsia"/>
          <w:b/>
          <w:bCs/>
          <w:sz w:val="32"/>
          <w:szCs w:val="32"/>
        </w:rPr>
        <w:t>（二）工业（产业）园区</w:t>
      </w:r>
      <w:r>
        <w:rPr>
          <w:rFonts w:ascii="KaiTi" w:eastAsia="KaiTi" w:hAnsi="KaiTi" w:cs="KaiTi" w:hint="eastAsia"/>
          <w:b/>
          <w:bCs/>
          <w:sz w:val="32"/>
          <w:szCs w:val="32"/>
        </w:rPr>
        <w:t>标准化建设</w:t>
      </w:r>
      <w:r>
        <w:rPr>
          <w:rFonts w:ascii="KaiTi" w:eastAsia="KaiTi" w:hAnsi="KaiTi" w:cs="FangSong_GB2312" w:hint="eastAsia"/>
          <w:b/>
          <w:bCs/>
          <w:sz w:val="32"/>
          <w:szCs w:val="32"/>
        </w:rPr>
        <w:t>项目</w:t>
      </w:r>
    </w:p>
    <w:p w14:paraId="4E6CA537" w14:textId="77777777" w:rsidR="00D760D8" w:rsidRDefault="000F412D" w:rsidP="00055507">
      <w:pPr>
        <w:suppressAutoHyphens/>
        <w:spacing w:line="600" w:lineRule="atLeast"/>
        <w:ind w:firstLine="645"/>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1.应为</w:t>
      </w:r>
      <w:r>
        <w:rPr>
          <w:rFonts w:ascii="FangSong_GB2312" w:eastAsia="FangSong_GB2312" w:hAnsi="FangSong_GB2312" w:cs="FangSong_GB2312"/>
          <w:sz w:val="32"/>
          <w:szCs w:val="32"/>
        </w:rPr>
        <w:t>列入新一轮</w:t>
      </w:r>
      <w:r>
        <w:rPr>
          <w:rFonts w:ascii="FangSong_GB2312" w:eastAsia="FangSong_GB2312" w:hAnsi="FangSong_GB2312" w:cs="FangSong_GB2312" w:hint="eastAsia"/>
          <w:sz w:val="32"/>
          <w:szCs w:val="32"/>
        </w:rPr>
        <w:t>园区标准化建设园区的相关基础配套设施建设项目。</w:t>
      </w:r>
    </w:p>
    <w:p w14:paraId="390AFDCE" w14:textId="77777777" w:rsidR="00D760D8" w:rsidRDefault="000F412D" w:rsidP="00055507">
      <w:pPr>
        <w:suppressAutoHyphens/>
        <w:spacing w:line="600" w:lineRule="atLeast"/>
        <w:ind w:firstLine="645"/>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2.应位于经县级以上人民政府批准设立的工业（产业）园区总体规划范围内。</w:t>
      </w:r>
    </w:p>
    <w:p w14:paraId="75B7A4F8" w14:textId="77777777" w:rsidR="00D760D8" w:rsidRDefault="000F412D" w:rsidP="00055507">
      <w:pPr>
        <w:suppressAutoHyphens/>
        <w:spacing w:line="600" w:lineRule="atLeast"/>
        <w:ind w:firstLine="645"/>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3.总投资2000万元及以上。</w:t>
      </w:r>
    </w:p>
    <w:p w14:paraId="2140B5D5" w14:textId="77777777" w:rsidR="00D760D8" w:rsidRDefault="000F412D" w:rsidP="00055507">
      <w:pPr>
        <w:suppressAutoHyphens/>
        <w:spacing w:line="600" w:lineRule="atLeast"/>
        <w:ind w:firstLine="645"/>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4.具有经济可行性，已完成项目可行性研究和相关必要的审批（备案）。</w:t>
      </w:r>
    </w:p>
    <w:p w14:paraId="4A8C6A0B" w14:textId="77777777" w:rsidR="00D760D8" w:rsidRDefault="000F412D" w:rsidP="00055507">
      <w:pPr>
        <w:suppressAutoHyphens/>
        <w:adjustRightInd w:val="0"/>
        <w:snapToGrid w:val="0"/>
        <w:spacing w:line="600" w:lineRule="atLeast"/>
        <w:ind w:firstLineChars="200" w:firstLine="640"/>
        <w:rPr>
          <w:rFonts w:ascii="SimHei" w:eastAsia="SimHei" w:hAnsi="Times New Roman"/>
          <w:sz w:val="32"/>
          <w:szCs w:val="32"/>
        </w:rPr>
      </w:pPr>
      <w:r>
        <w:rPr>
          <w:rFonts w:ascii="SimHei" w:eastAsia="SimHei" w:hAnsi="Times New Roman" w:hint="eastAsia"/>
          <w:sz w:val="32"/>
          <w:szCs w:val="32"/>
        </w:rPr>
        <w:t>三、申报流程</w:t>
      </w:r>
    </w:p>
    <w:p w14:paraId="07CD14A5" w14:textId="22796C40"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（一）2025年起，省重点技术改造项目采用线上申报集中发布，通过“福建省工业和信息化项目管理平台”（http://220.160.52.168:35000/unipm/login）报送，申报单位提交申报材料（含纸质和电子版）至</w:t>
      </w:r>
      <w:r w:rsidR="008057BE">
        <w:rPr>
          <w:rFonts w:ascii="FangSong_GB2312" w:eastAsia="FangSong_GB2312" w:hAnsi="FangSong_GB2312" w:cs="FangSong_GB2312" w:hint="eastAsia"/>
          <w:sz w:val="32"/>
          <w:szCs w:val="32"/>
        </w:rPr>
        <w:t>县（市、区）</w:t>
      </w:r>
      <w:r>
        <w:rPr>
          <w:rFonts w:ascii="FangSong_GB2312" w:eastAsia="FangSong_GB2312" w:hAnsi="FangSong_GB2312" w:cs="FangSong_GB2312" w:hint="eastAsia"/>
          <w:sz w:val="32"/>
          <w:szCs w:val="32"/>
        </w:rPr>
        <w:t>工信</w:t>
      </w:r>
      <w:r w:rsidR="00055507">
        <w:rPr>
          <w:rFonts w:ascii="FangSong_GB2312" w:eastAsia="FangSong_GB2312" w:hAnsi="FangSong_GB2312" w:cs="FangSong_GB2312" w:hint="eastAsia"/>
          <w:sz w:val="32"/>
          <w:szCs w:val="32"/>
        </w:rPr>
        <w:t>部门</w:t>
      </w:r>
      <w:r>
        <w:rPr>
          <w:rFonts w:ascii="FangSong_GB2312" w:eastAsia="FangSong_GB2312" w:hAnsi="FangSong_GB2312" w:cs="FangSong_GB2312" w:hint="eastAsia"/>
          <w:sz w:val="32"/>
          <w:szCs w:val="32"/>
        </w:rPr>
        <w:t>，</w:t>
      </w:r>
      <w:r w:rsidR="008057BE">
        <w:rPr>
          <w:rFonts w:ascii="FangSong_GB2312" w:eastAsia="FangSong_GB2312" w:hAnsi="FangSong_GB2312" w:cs="FangSong_GB2312" w:hint="eastAsia"/>
          <w:sz w:val="32"/>
          <w:szCs w:val="32"/>
        </w:rPr>
        <w:t>县（市、区）</w:t>
      </w:r>
      <w:r>
        <w:rPr>
          <w:rFonts w:ascii="FangSong_GB2312" w:eastAsia="FangSong_GB2312" w:hAnsi="FangSong_GB2312" w:cs="FangSong_GB2312" w:hint="eastAsia"/>
          <w:sz w:val="32"/>
          <w:szCs w:val="32"/>
        </w:rPr>
        <w:t>工信</w:t>
      </w:r>
      <w:r w:rsidR="00055507">
        <w:rPr>
          <w:rFonts w:ascii="FangSong_GB2312" w:eastAsia="FangSong_GB2312" w:hAnsi="FangSong_GB2312" w:cs="FangSong_GB2312" w:hint="eastAsia"/>
          <w:sz w:val="32"/>
          <w:szCs w:val="32"/>
        </w:rPr>
        <w:t>部门</w:t>
      </w:r>
      <w:r>
        <w:rPr>
          <w:rFonts w:ascii="FangSong_GB2312" w:eastAsia="FangSong_GB2312" w:hAnsi="FangSong_GB2312" w:cs="FangSong_GB2312" w:hint="eastAsia"/>
          <w:sz w:val="32"/>
          <w:szCs w:val="32"/>
        </w:rPr>
        <w:t>负责材料审核和导入系统，平台具体操作见《福建省</w:t>
      </w:r>
      <w:r w:rsidR="008057BE">
        <w:rPr>
          <w:rFonts w:ascii="FangSong_GB2312" w:eastAsia="FangSong_GB2312" w:hAnsi="FangSong_GB2312" w:cs="FangSong_GB2312" w:hint="eastAsia"/>
          <w:sz w:val="32"/>
          <w:szCs w:val="32"/>
        </w:rPr>
        <w:t>工业和信息化项目</w:t>
      </w:r>
      <w:r>
        <w:rPr>
          <w:rFonts w:ascii="FangSong_GB2312" w:eastAsia="FangSong_GB2312" w:hAnsi="FangSong_GB2312" w:cs="FangSong_GB2312" w:hint="eastAsia"/>
          <w:sz w:val="32"/>
          <w:szCs w:val="32"/>
        </w:rPr>
        <w:t>管理平台操作</w:t>
      </w:r>
      <w:r w:rsidR="008057BE">
        <w:rPr>
          <w:rFonts w:ascii="FangSong_GB2312" w:eastAsia="FangSong_GB2312" w:hAnsi="FangSong_GB2312" w:cs="FangSong_GB2312" w:hint="eastAsia"/>
          <w:sz w:val="32"/>
          <w:szCs w:val="32"/>
        </w:rPr>
        <w:t>手册</w:t>
      </w:r>
      <w:r>
        <w:rPr>
          <w:rFonts w:ascii="FangSong_GB2312" w:eastAsia="FangSong_GB2312" w:hAnsi="FangSong_GB2312" w:cs="FangSong_GB2312" w:hint="eastAsia"/>
          <w:sz w:val="32"/>
          <w:szCs w:val="32"/>
        </w:rPr>
        <w:t>》（附件1）。</w:t>
      </w:r>
    </w:p>
    <w:p w14:paraId="619DBFF4" w14:textId="77777777"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申报材料如下：</w:t>
      </w:r>
    </w:p>
    <w:p w14:paraId="7BD9CE73" w14:textId="77777777"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1.《2025年福建省重点技术改造项目申报表》（以下简称《申报表》,A4格式，见附件2）；</w:t>
      </w:r>
    </w:p>
    <w:p w14:paraId="6DD217AC" w14:textId="77777777"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2.《2025年福建省重点技术改造项目申报汇总表》（以</w:t>
      </w:r>
      <w:r>
        <w:rPr>
          <w:rFonts w:ascii="FangSong_GB2312" w:eastAsia="FangSong_GB2312" w:hAnsi="FangSong_GB2312" w:cs="FangSong_GB2312" w:hint="eastAsia"/>
          <w:sz w:val="32"/>
          <w:szCs w:val="32"/>
        </w:rPr>
        <w:lastRenderedPageBreak/>
        <w:t>下简称《汇总表》,A3格式，见附件3）；</w:t>
      </w:r>
    </w:p>
    <w:p w14:paraId="2FE3121A" w14:textId="77777777"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3.核准或备案有效文件复印件；</w:t>
      </w:r>
    </w:p>
    <w:p w14:paraId="353A4996" w14:textId="77777777"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4.节能审查意见文件复印件（按规定无需进行节能审查的项目提供承诺说明文件原件</w:t>
      </w:r>
      <w:r>
        <w:rPr>
          <w:rFonts w:ascii="FangSong_GB2312" w:eastAsia="FangSong_GB2312" w:hAnsi="FangSong_GB2312" w:cs="FangSong_GB2312"/>
          <w:sz w:val="32"/>
          <w:szCs w:val="32"/>
        </w:rPr>
        <w:t>,</w:t>
      </w:r>
      <w:r>
        <w:rPr>
          <w:rFonts w:ascii="FangSong_GB2312" w:eastAsia="FangSong_GB2312" w:hAnsi="FangSong_GB2312" w:cs="FangSong_GB2312" w:hint="eastAsia"/>
          <w:sz w:val="32"/>
          <w:szCs w:val="32"/>
        </w:rPr>
        <w:t>节能改造项目也需说明技改后下降的能耗数据，承诺函模板见附件4）；</w:t>
      </w:r>
    </w:p>
    <w:p w14:paraId="1825C6AD" w14:textId="77777777"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5.企业营业执照复印件。</w:t>
      </w:r>
    </w:p>
    <w:p w14:paraId="7C43A3C0" w14:textId="15813141"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以上材料纸质件加盖公章，电子版除表格文档外，还需提供加盖公章后的纸质件扫描文件，报送市工信局；2024年未全面投产的省重点技改项目经</w:t>
      </w:r>
      <w:r w:rsidR="009F6DE1">
        <w:rPr>
          <w:rFonts w:ascii="FangSong_GB2312" w:eastAsia="FangSong_GB2312" w:hAnsi="FangSong_GB2312" w:cs="FangSong_GB2312" w:hint="eastAsia"/>
          <w:sz w:val="32"/>
          <w:szCs w:val="32"/>
        </w:rPr>
        <w:t>市工信局</w:t>
      </w:r>
      <w:r>
        <w:rPr>
          <w:rFonts w:ascii="FangSong_GB2312" w:eastAsia="FangSong_GB2312" w:hAnsi="FangSong_GB2312" w:cs="FangSong_GB2312" w:hint="eastAsia"/>
          <w:sz w:val="32"/>
          <w:szCs w:val="32"/>
        </w:rPr>
        <w:t>核实后可直接续列为2025年省重点技改项目，无需再行申报。</w:t>
      </w:r>
    </w:p>
    <w:p w14:paraId="49EDF2D6" w14:textId="77777777" w:rsidR="00D760D8" w:rsidRDefault="000F412D" w:rsidP="00055507">
      <w:pPr>
        <w:suppressAutoHyphens/>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二）申报园区标准化建设项目时，请在项目申报汇总表备注栏内标注“园区标准化建设项目”，同时提供由县级以上人民政府批准设立的工业（产业）园区管理机构出具并加盖公章的书面文件，证明该项目位于本园区总体规划范围内并属于园区标准化建设相关的基础配套设施（园区证明模板见附件5）。</w:t>
      </w:r>
    </w:p>
    <w:p w14:paraId="4889DFC5" w14:textId="61D2FA69"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（三）</w:t>
      </w:r>
      <w:r w:rsidR="008057BE">
        <w:rPr>
          <w:rFonts w:ascii="FangSong_GB2312" w:eastAsia="FangSong_GB2312" w:hAnsi="FangSong_GB2312" w:cs="FangSong_GB2312" w:hint="eastAsia"/>
          <w:sz w:val="32"/>
          <w:szCs w:val="32"/>
        </w:rPr>
        <w:t>县（市、区）工信</w:t>
      </w:r>
      <w:r w:rsidR="00055507">
        <w:rPr>
          <w:rFonts w:ascii="FangSong_GB2312" w:eastAsia="FangSong_GB2312" w:hAnsi="FangSong_GB2312" w:cs="FangSong_GB2312" w:hint="eastAsia"/>
          <w:sz w:val="32"/>
          <w:szCs w:val="32"/>
        </w:rPr>
        <w:t>部门</w:t>
      </w:r>
      <w:r>
        <w:rPr>
          <w:rFonts w:ascii="FangSong_GB2312" w:eastAsia="FangSong_GB2312" w:hAnsi="FangSong_GB2312" w:cs="FangSong_GB2312" w:hint="eastAsia"/>
          <w:sz w:val="32"/>
          <w:szCs w:val="32"/>
        </w:rPr>
        <w:t>按照本通知及附件表格填报要求，对申报材料初审，实地核实项目情况，汇总符合条件的项目及申报材料，通过申报系统推送</w:t>
      </w:r>
      <w:r w:rsidR="008057BE">
        <w:rPr>
          <w:rFonts w:ascii="FangSong_GB2312" w:eastAsia="FangSong_GB2312" w:hAnsi="FangSong_GB2312" w:cs="FangSong_GB2312" w:hint="eastAsia"/>
          <w:sz w:val="32"/>
          <w:szCs w:val="32"/>
        </w:rPr>
        <w:t>至</w:t>
      </w:r>
      <w:r>
        <w:rPr>
          <w:rFonts w:ascii="FangSong_GB2312" w:eastAsia="FangSong_GB2312" w:hAnsi="FangSong_GB2312" w:cs="FangSong_GB2312" w:hint="eastAsia"/>
          <w:sz w:val="32"/>
          <w:szCs w:val="32"/>
        </w:rPr>
        <w:t>市工信局</w:t>
      </w:r>
      <w:r w:rsidR="008057BE">
        <w:rPr>
          <w:rFonts w:ascii="FangSong_GB2312" w:eastAsia="FangSong_GB2312" w:hAnsi="FangSong_GB2312" w:cs="FangSong_GB2312" w:hint="eastAsia"/>
          <w:sz w:val="32"/>
          <w:szCs w:val="32"/>
        </w:rPr>
        <w:t>，</w:t>
      </w:r>
      <w:r w:rsidR="00BB0631">
        <w:rPr>
          <w:rFonts w:ascii="FangSong_GB2312" w:eastAsia="FangSong_GB2312" w:hAnsi="FangSong_GB2312" w:cs="FangSong_GB2312" w:hint="eastAsia"/>
          <w:sz w:val="32"/>
          <w:szCs w:val="32"/>
        </w:rPr>
        <w:t>并从系统导出《汇总表》，行文报送至市工信局。</w:t>
      </w:r>
      <w:r w:rsidR="00BB0631">
        <w:rPr>
          <w:rFonts w:ascii="FangSong_GB2312" w:eastAsia="FangSong_GB2312" w:hAnsi="FangSong_GB2312" w:cs="FangSong_GB2312"/>
          <w:sz w:val="32"/>
          <w:szCs w:val="32"/>
        </w:rPr>
        <w:t xml:space="preserve"> </w:t>
      </w:r>
    </w:p>
    <w:p w14:paraId="654F80FE" w14:textId="00EE807D"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（四）市工信局对县（市、区）工信</w:t>
      </w:r>
      <w:r w:rsidR="00055507">
        <w:rPr>
          <w:rFonts w:ascii="FangSong_GB2312" w:eastAsia="FangSong_GB2312" w:hAnsi="FangSong_GB2312" w:cs="FangSong_GB2312" w:hint="eastAsia"/>
          <w:sz w:val="32"/>
          <w:szCs w:val="32"/>
        </w:rPr>
        <w:t>部门</w:t>
      </w:r>
      <w:r>
        <w:rPr>
          <w:rFonts w:ascii="FangSong_GB2312" w:eastAsia="FangSong_GB2312" w:hAnsi="FangSong_GB2312" w:cs="FangSong_GB2312" w:hint="eastAsia"/>
          <w:sz w:val="32"/>
          <w:szCs w:val="32"/>
        </w:rPr>
        <w:t>推荐材料进行复核，并将审核结果推送省厅，由省厅组织项目审核，并将审核结果反馈各地并适时集中发布。</w:t>
      </w:r>
    </w:p>
    <w:p w14:paraId="36146B2A" w14:textId="5A928533"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lastRenderedPageBreak/>
        <w:t>（</w:t>
      </w:r>
      <w:r w:rsidR="00BB0631">
        <w:rPr>
          <w:rFonts w:ascii="FangSong_GB2312" w:eastAsia="FangSong_GB2312" w:hAnsi="FangSong_GB2312" w:cs="FangSong_GB2312" w:hint="eastAsia"/>
          <w:sz w:val="32"/>
          <w:szCs w:val="32"/>
        </w:rPr>
        <w:t>五</w:t>
      </w:r>
      <w:r>
        <w:rPr>
          <w:rFonts w:ascii="FangSong_GB2312" w:eastAsia="FangSong_GB2312" w:hAnsi="FangSong_GB2312" w:cs="FangSong_GB2312" w:hint="eastAsia"/>
          <w:sz w:val="32"/>
          <w:szCs w:val="32"/>
        </w:rPr>
        <w:t>）省属集团（控股）公司从项目</w:t>
      </w:r>
      <w:r w:rsidR="00BB0631">
        <w:rPr>
          <w:rFonts w:ascii="FangSong_GB2312" w:eastAsia="FangSong_GB2312" w:hAnsi="FangSong_GB2312" w:cs="FangSong_GB2312" w:hint="eastAsia"/>
          <w:sz w:val="32"/>
          <w:szCs w:val="32"/>
        </w:rPr>
        <w:t>属地县（市、区）</w:t>
      </w:r>
      <w:r>
        <w:rPr>
          <w:rFonts w:ascii="FangSong_GB2312" w:eastAsia="FangSong_GB2312" w:hAnsi="FangSong_GB2312" w:cs="FangSong_GB2312" w:hint="eastAsia"/>
          <w:sz w:val="32"/>
          <w:szCs w:val="32"/>
        </w:rPr>
        <w:t>工信</w:t>
      </w:r>
      <w:r w:rsidR="009F6DE1">
        <w:rPr>
          <w:rFonts w:ascii="FangSong_GB2312" w:eastAsia="FangSong_GB2312" w:hAnsi="FangSong_GB2312" w:cs="FangSong_GB2312" w:hint="eastAsia"/>
          <w:sz w:val="32"/>
          <w:szCs w:val="32"/>
        </w:rPr>
        <w:t>部门</w:t>
      </w:r>
      <w:r>
        <w:rPr>
          <w:rFonts w:ascii="FangSong_GB2312" w:eastAsia="FangSong_GB2312" w:hAnsi="FangSong_GB2312" w:cs="FangSong_GB2312" w:hint="eastAsia"/>
          <w:sz w:val="32"/>
          <w:szCs w:val="32"/>
        </w:rPr>
        <w:t>上报。</w:t>
      </w:r>
    </w:p>
    <w:p w14:paraId="485FEA65" w14:textId="77777777" w:rsidR="00D760D8" w:rsidRDefault="000F412D" w:rsidP="00055507">
      <w:pPr>
        <w:suppressAutoHyphens/>
        <w:adjustRightInd w:val="0"/>
        <w:snapToGrid w:val="0"/>
        <w:spacing w:line="600" w:lineRule="atLeast"/>
        <w:ind w:firstLineChars="200" w:firstLine="640"/>
        <w:rPr>
          <w:rFonts w:ascii="SimHei" w:eastAsia="SimHei" w:hAnsi="Times New Roman"/>
          <w:sz w:val="32"/>
          <w:szCs w:val="32"/>
        </w:rPr>
      </w:pPr>
      <w:r>
        <w:rPr>
          <w:rFonts w:ascii="SimHei" w:eastAsia="SimHei" w:hAnsi="Times New Roman" w:hint="eastAsia"/>
          <w:sz w:val="32"/>
          <w:szCs w:val="32"/>
        </w:rPr>
        <w:t>四、申报时间</w:t>
      </w:r>
    </w:p>
    <w:p w14:paraId="22B0111D" w14:textId="71E03850"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省重点技改项目实行常态化受理申报、审核入库、集中发布机制，符合条件的技改项目备齐申报材料后即可按流程申报。</w:t>
      </w:r>
      <w:r w:rsidR="00BB0631">
        <w:rPr>
          <w:rFonts w:ascii="FangSong_GB2312" w:eastAsia="FangSong_GB2312" w:hAnsi="FangSong_GB2312" w:cs="FangSong_GB2312" w:hint="eastAsia"/>
          <w:sz w:val="32"/>
          <w:szCs w:val="32"/>
        </w:rPr>
        <w:t>每月</w:t>
      </w:r>
      <w:r w:rsidR="00055507">
        <w:rPr>
          <w:rFonts w:ascii="FangSong_GB2312" w:eastAsia="FangSong_GB2312" w:hAnsi="FangSong_GB2312" w:cs="FangSong_GB2312"/>
          <w:sz w:val="32"/>
          <w:szCs w:val="32"/>
        </w:rPr>
        <w:t>7</w:t>
      </w:r>
      <w:r w:rsidR="00BB0631">
        <w:rPr>
          <w:rFonts w:ascii="FangSong_GB2312" w:eastAsia="FangSong_GB2312" w:hAnsi="FangSong_GB2312" w:cs="FangSong_GB2312" w:hint="eastAsia"/>
          <w:sz w:val="32"/>
          <w:szCs w:val="32"/>
        </w:rPr>
        <w:t>日为上报截止时间，超过汇总截止时间的将顺延至下一批，1</w:t>
      </w:r>
      <w:r w:rsidR="00BB0631">
        <w:rPr>
          <w:rFonts w:ascii="FangSong_GB2312" w:eastAsia="FangSong_GB2312" w:hAnsi="FangSong_GB2312" w:cs="FangSong_GB2312"/>
          <w:sz w:val="32"/>
          <w:szCs w:val="32"/>
        </w:rPr>
        <w:t>1</w:t>
      </w:r>
      <w:r w:rsidR="00BB0631">
        <w:rPr>
          <w:rFonts w:ascii="FangSong_GB2312" w:eastAsia="FangSong_GB2312" w:hAnsi="FangSong_GB2312" w:cs="FangSong_GB2312" w:hint="eastAsia"/>
          <w:sz w:val="32"/>
          <w:szCs w:val="32"/>
        </w:rPr>
        <w:t>月份为</w:t>
      </w:r>
      <w:r w:rsidR="009F6DE1">
        <w:rPr>
          <w:rFonts w:ascii="FangSong_GB2312" w:eastAsia="FangSong_GB2312" w:hAnsi="FangSong_GB2312" w:cs="FangSong_GB2312" w:hint="eastAsia"/>
          <w:sz w:val="32"/>
          <w:szCs w:val="32"/>
        </w:rPr>
        <w:t>本年度</w:t>
      </w:r>
      <w:r w:rsidR="00BB0631">
        <w:rPr>
          <w:rFonts w:ascii="FangSong_GB2312" w:eastAsia="FangSong_GB2312" w:hAnsi="FangSong_GB2312" w:cs="FangSong_GB2312" w:hint="eastAsia"/>
          <w:sz w:val="32"/>
          <w:szCs w:val="32"/>
        </w:rPr>
        <w:t>最后一批次。</w:t>
      </w:r>
    </w:p>
    <w:p w14:paraId="578D5901" w14:textId="77777777" w:rsidR="00D760D8" w:rsidRDefault="000F412D" w:rsidP="00055507">
      <w:pPr>
        <w:suppressAutoHyphens/>
        <w:adjustRightInd w:val="0"/>
        <w:snapToGrid w:val="0"/>
        <w:spacing w:line="600" w:lineRule="atLeast"/>
        <w:ind w:firstLineChars="200" w:firstLine="640"/>
        <w:rPr>
          <w:rFonts w:ascii="SimHei" w:eastAsia="SimHei" w:hAnsi="Times New Roman"/>
          <w:sz w:val="32"/>
          <w:szCs w:val="32"/>
        </w:rPr>
      </w:pPr>
      <w:r>
        <w:rPr>
          <w:rFonts w:ascii="SimHei" w:eastAsia="SimHei" w:hAnsi="Times New Roman" w:hint="eastAsia"/>
          <w:sz w:val="32"/>
          <w:szCs w:val="32"/>
        </w:rPr>
        <w:t>五、其他事项</w:t>
      </w:r>
    </w:p>
    <w:p w14:paraId="649C628A" w14:textId="77777777"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一）省重点技改项目库将作为省级技改项目设备投资奖补、融资贷款贴息等技改相关政策申报的重要依据。申报单位要对申报材料的真实性负责，与《申报表》《汇总表》以及项目核准或备案有效文件载明的信息一致。</w:t>
      </w:r>
    </w:p>
    <w:p w14:paraId="5E7D268A" w14:textId="77777777"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（二）省重点技改项目实施动态管理，企业名称、项目名称、建设内容及规模、建设起止时间、项目总投资等信息发生变化的，需及时提交变更申请并提供佐证材料。</w:t>
      </w:r>
    </w:p>
    <w:p w14:paraId="023C773E" w14:textId="42C27B06" w:rsidR="00D760D8" w:rsidRDefault="000F412D" w:rsidP="00055507">
      <w:pPr>
        <w:suppressAutoHyphens/>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（三）</w:t>
      </w:r>
      <w:r w:rsidR="00055507">
        <w:rPr>
          <w:rFonts w:ascii="FangSong_GB2312" w:eastAsia="FangSong_GB2312" w:hAnsi="FangSong_GB2312" w:cs="FangSong_GB2312" w:hint="eastAsia"/>
          <w:sz w:val="32"/>
          <w:szCs w:val="32"/>
        </w:rPr>
        <w:t>各</w:t>
      </w:r>
      <w:r>
        <w:rPr>
          <w:rFonts w:ascii="FangSong_GB2312" w:eastAsia="FangSong_GB2312" w:hAnsi="FangSong_GB2312" w:cs="FangSong_GB2312" w:hint="eastAsia"/>
          <w:sz w:val="32"/>
          <w:szCs w:val="32"/>
        </w:rPr>
        <w:t>县（市、区）工信</w:t>
      </w:r>
      <w:r w:rsidR="00055507">
        <w:rPr>
          <w:rFonts w:ascii="FangSong_GB2312" w:eastAsia="FangSong_GB2312" w:hAnsi="FangSong_GB2312" w:cs="FangSong_GB2312" w:hint="eastAsia"/>
          <w:sz w:val="32"/>
          <w:szCs w:val="32"/>
        </w:rPr>
        <w:t>部门</w:t>
      </w:r>
      <w:r>
        <w:rPr>
          <w:rFonts w:ascii="FangSong_GB2312" w:eastAsia="FangSong_GB2312" w:hAnsi="FangSong_GB2312" w:cs="FangSong_GB2312" w:hint="eastAsia"/>
          <w:sz w:val="32"/>
          <w:szCs w:val="32"/>
        </w:rPr>
        <w:t>要加强对申报项目的实地了解核实，切实做好申报材料的组织填报和初审工作，进一步加强管理，鼓励引导更多符合条件的企业实施技改，加快转型升级。</w:t>
      </w:r>
    </w:p>
    <w:p w14:paraId="64B749B5" w14:textId="229CDAFC" w:rsidR="00D760D8" w:rsidRDefault="000F412D" w:rsidP="00055507">
      <w:pPr>
        <w:pStyle w:val="2"/>
        <w:spacing w:line="600" w:lineRule="atLeast"/>
        <w:ind w:firstLine="640"/>
      </w:pPr>
      <w:r>
        <w:rPr>
          <w:rFonts w:ascii="FangSong_GB2312" w:eastAsia="FangSong_GB2312" w:hAnsi="FangSong_GB2312" w:cs="FangSong_GB2312" w:hint="eastAsia"/>
          <w:sz w:val="32"/>
          <w:szCs w:val="32"/>
        </w:rPr>
        <w:t>（四）</w:t>
      </w:r>
      <w:r w:rsidR="00055507">
        <w:rPr>
          <w:rFonts w:ascii="FangSong_GB2312" w:eastAsia="FangSong_GB2312" w:hAnsi="FangSong_GB2312" w:cs="FangSong_GB2312" w:hint="eastAsia"/>
          <w:sz w:val="32"/>
          <w:szCs w:val="32"/>
        </w:rPr>
        <w:t>各</w:t>
      </w:r>
      <w:r>
        <w:rPr>
          <w:rFonts w:ascii="FangSong_GB2312" w:eastAsia="FangSong_GB2312" w:hAnsi="FangSong_GB2312" w:cs="FangSong_GB2312" w:hint="eastAsia"/>
          <w:sz w:val="32"/>
          <w:szCs w:val="32"/>
        </w:rPr>
        <w:t>县（市、区）工信</w:t>
      </w:r>
      <w:r w:rsidR="00055507">
        <w:rPr>
          <w:rFonts w:ascii="FangSong_GB2312" w:eastAsia="FangSong_GB2312" w:hAnsi="FangSong_GB2312" w:cs="FangSong_GB2312" w:hint="eastAsia"/>
          <w:sz w:val="32"/>
          <w:szCs w:val="32"/>
        </w:rPr>
        <w:t>部门</w:t>
      </w:r>
      <w:r>
        <w:rPr>
          <w:rFonts w:ascii="FangSong_GB2312" w:eastAsia="FangSong_GB2312" w:hAnsi="FangSong_GB2312" w:cs="FangSong_GB2312" w:hint="eastAsia"/>
          <w:sz w:val="32"/>
          <w:szCs w:val="32"/>
        </w:rPr>
        <w:t>每月</w:t>
      </w:r>
      <w:r w:rsidR="009F6DE1">
        <w:rPr>
          <w:rFonts w:ascii="FangSong_GB2312" w:eastAsia="FangSong_GB2312" w:hAnsi="FangSong_GB2312" w:cs="FangSong_GB2312"/>
          <w:sz w:val="32"/>
          <w:szCs w:val="32"/>
        </w:rPr>
        <w:t>10</w:t>
      </w:r>
      <w:r>
        <w:rPr>
          <w:rFonts w:ascii="FangSong_GB2312" w:eastAsia="FangSong_GB2312" w:hAnsi="FangSong_GB2312" w:cs="FangSong_GB2312" w:hint="eastAsia"/>
          <w:sz w:val="32"/>
          <w:szCs w:val="32"/>
        </w:rPr>
        <w:t>日前通过项目管理系统报送项目进展情况，及时发现、报告和协调解决制约项目建设的困难和问题，加快项目建设，确保项目顺利建成投用。</w:t>
      </w:r>
    </w:p>
    <w:p w14:paraId="451BA27F" w14:textId="77777777" w:rsidR="00D760D8" w:rsidRDefault="000F412D" w:rsidP="00055507">
      <w:pPr>
        <w:pStyle w:val="a3"/>
        <w:spacing w:after="0" w:line="600" w:lineRule="atLeast"/>
        <w:ind w:firstLineChars="200" w:firstLine="640"/>
        <w:rPr>
          <w:rFonts w:ascii="FangSong_GB2312" w:eastAsia="FangSong_GB2312" w:hAnsi="FangSong_GB2312" w:cs="FangSong_GB2312"/>
          <w:bCs/>
          <w:sz w:val="32"/>
          <w:szCs w:val="32"/>
        </w:rPr>
      </w:pPr>
      <w:r>
        <w:rPr>
          <w:rFonts w:ascii="FangSong_GB2312" w:eastAsia="FangSong_GB2312" w:hAnsi="FangSong_GB2312" w:cs="FangSong_GB2312" w:hint="eastAsia"/>
          <w:bCs/>
          <w:sz w:val="32"/>
          <w:szCs w:val="32"/>
        </w:rPr>
        <w:lastRenderedPageBreak/>
        <w:t>联系人：谢坤霖        联系电话：28382809</w:t>
      </w:r>
    </w:p>
    <w:p w14:paraId="5035AE1D" w14:textId="77777777" w:rsidR="00D760D8" w:rsidRDefault="00D760D8" w:rsidP="00055507">
      <w:pPr>
        <w:pStyle w:val="a4"/>
        <w:spacing w:after="0" w:line="600" w:lineRule="atLeast"/>
        <w:ind w:firstLine="200"/>
      </w:pPr>
    </w:p>
    <w:p w14:paraId="36656F6B" w14:textId="0B1CE6EC" w:rsidR="00D760D8" w:rsidRDefault="000F412D" w:rsidP="00055507">
      <w:pPr>
        <w:suppressAutoHyphens/>
        <w:adjustRightInd w:val="0"/>
        <w:snapToGrid w:val="0"/>
        <w:spacing w:line="600" w:lineRule="atLeas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附件：1.</w:t>
      </w:r>
      <w:r w:rsidR="000C6921">
        <w:rPr>
          <w:rFonts w:ascii="FangSong_GB2312" w:eastAsia="FangSong_GB2312" w:hAnsi="FangSong_GB2312" w:cs="FangSong_GB2312" w:hint="eastAsia"/>
          <w:sz w:val="32"/>
          <w:szCs w:val="32"/>
        </w:rPr>
        <w:t>福建省工业和信息化项目管理平台操作手册</w:t>
      </w:r>
    </w:p>
    <w:p w14:paraId="6C703063" w14:textId="77777777" w:rsidR="00D760D8" w:rsidRDefault="000F412D" w:rsidP="00055507">
      <w:pPr>
        <w:suppressAutoHyphens/>
        <w:adjustRightInd w:val="0"/>
        <w:snapToGrid w:val="0"/>
        <w:spacing w:line="600" w:lineRule="atLeast"/>
        <w:ind w:firstLineChars="500" w:firstLine="160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2.2025年福建省重点技术改造项目申报表</w:t>
      </w:r>
    </w:p>
    <w:p w14:paraId="26FD41F9" w14:textId="77777777" w:rsidR="00D760D8" w:rsidRDefault="000F412D" w:rsidP="00055507">
      <w:pPr>
        <w:suppressAutoHyphens/>
        <w:adjustRightInd w:val="0"/>
        <w:snapToGrid w:val="0"/>
        <w:spacing w:line="600" w:lineRule="atLeast"/>
        <w:ind w:firstLineChars="500" w:firstLine="160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3.2025年福建省重点技术改造项目申报汇总表</w:t>
      </w:r>
    </w:p>
    <w:p w14:paraId="5CD8B89C" w14:textId="77777777" w:rsidR="00D760D8" w:rsidRDefault="000F412D" w:rsidP="00055507">
      <w:pPr>
        <w:suppressAutoHyphens/>
        <w:adjustRightInd w:val="0"/>
        <w:snapToGrid w:val="0"/>
        <w:spacing w:line="600" w:lineRule="atLeast"/>
        <w:ind w:firstLineChars="500" w:firstLine="160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4.节能审查承诺函（范例）</w:t>
      </w:r>
    </w:p>
    <w:p w14:paraId="012F19A2" w14:textId="77777777" w:rsidR="00D760D8" w:rsidRDefault="000F412D" w:rsidP="00055507">
      <w:pPr>
        <w:spacing w:line="600" w:lineRule="atLeast"/>
        <w:ind w:firstLineChars="500" w:firstLine="1600"/>
        <w:rPr>
          <w:rFonts w:ascii="FangSong_GB2312" w:eastAsia="FangSong_GB2312" w:hAnsi="FangSong_GB2312" w:cs="FangSong_GB2312"/>
          <w:bCs/>
          <w:sz w:val="32"/>
          <w:szCs w:val="32"/>
        </w:rPr>
      </w:pPr>
      <w:r>
        <w:rPr>
          <w:rFonts w:ascii="FangSong_GB2312" w:eastAsia="FangSong_GB2312" w:hAnsi="FangSong_GB2312" w:cs="FangSong_GB2312" w:hint="eastAsia"/>
          <w:sz w:val="32"/>
          <w:szCs w:val="32"/>
        </w:rPr>
        <w:t>5.园区标准化建设项目证明（范例）</w:t>
      </w:r>
    </w:p>
    <w:p w14:paraId="06F710FB" w14:textId="113B50E5" w:rsidR="00D760D8" w:rsidRDefault="00D760D8" w:rsidP="00055507">
      <w:pPr>
        <w:spacing w:line="600" w:lineRule="atLeast"/>
        <w:ind w:firstLineChars="200" w:firstLine="640"/>
        <w:jc w:val="right"/>
        <w:rPr>
          <w:rFonts w:ascii="FangSong_GB2312" w:eastAsia="FangSong_GB2312" w:hAnsi="FangSong_GB2312" w:cs="FangSong_GB2312"/>
          <w:bCs/>
          <w:sz w:val="32"/>
          <w:szCs w:val="32"/>
        </w:rPr>
      </w:pPr>
    </w:p>
    <w:p w14:paraId="2B9B29E0" w14:textId="77777777" w:rsidR="000268E3" w:rsidRPr="000268E3" w:rsidRDefault="000268E3" w:rsidP="00055507">
      <w:pPr>
        <w:pStyle w:val="2"/>
        <w:spacing w:line="600" w:lineRule="atLeast"/>
      </w:pPr>
    </w:p>
    <w:p w14:paraId="4F531858" w14:textId="77777777" w:rsidR="00D760D8" w:rsidRDefault="000F412D" w:rsidP="009F6DE1">
      <w:pPr>
        <w:spacing w:line="600" w:lineRule="atLeast"/>
        <w:ind w:right="320" w:firstLineChars="200" w:firstLine="640"/>
        <w:jc w:val="right"/>
        <w:rPr>
          <w:rFonts w:ascii="FangSong_GB2312" w:eastAsia="FangSong_GB2312" w:hAnsi="FangSong_GB2312" w:cs="FangSong_GB2312"/>
          <w:bCs/>
          <w:sz w:val="32"/>
          <w:szCs w:val="32"/>
        </w:rPr>
      </w:pPr>
      <w:r>
        <w:rPr>
          <w:rFonts w:ascii="FangSong_GB2312" w:eastAsia="FangSong_GB2312" w:hAnsi="FangSong_GB2312" w:cs="FangSong_GB2312" w:hint="eastAsia"/>
          <w:bCs/>
          <w:sz w:val="32"/>
          <w:szCs w:val="32"/>
        </w:rPr>
        <w:t xml:space="preserve">泉州市工业和信息化局  </w:t>
      </w:r>
    </w:p>
    <w:p w14:paraId="41D9BEEC" w14:textId="673F4C24" w:rsidR="00D760D8" w:rsidRDefault="000F412D" w:rsidP="00055507">
      <w:pPr>
        <w:spacing w:line="600" w:lineRule="atLeast"/>
        <w:ind w:firstLineChars="200" w:firstLine="640"/>
        <w:rPr>
          <w:rFonts w:ascii="FangSong_GB2312" w:eastAsia="FangSong_GB2312" w:hAnsi="FangSong_GB2312" w:cs="FangSong_GB2312"/>
          <w:bCs/>
          <w:sz w:val="32"/>
          <w:szCs w:val="32"/>
        </w:rPr>
      </w:pPr>
      <w:r>
        <w:rPr>
          <w:rFonts w:ascii="FangSong_GB2312" w:eastAsia="FangSong_GB2312" w:hAnsi="FangSong_GB2312" w:cs="FangSong_GB2312" w:hint="eastAsia"/>
          <w:bCs/>
          <w:sz w:val="32"/>
          <w:szCs w:val="32"/>
        </w:rPr>
        <w:t xml:space="preserve">                             2025年</w:t>
      </w:r>
      <w:r w:rsidR="009F6DE1">
        <w:rPr>
          <w:rFonts w:ascii="FangSong_GB2312" w:eastAsia="FangSong_GB2312" w:hAnsi="FangSong_GB2312" w:cs="FangSong_GB2312"/>
          <w:bCs/>
          <w:sz w:val="32"/>
          <w:szCs w:val="32"/>
        </w:rPr>
        <w:t>2</w:t>
      </w:r>
      <w:r>
        <w:rPr>
          <w:rFonts w:ascii="FangSong_GB2312" w:eastAsia="FangSong_GB2312" w:hAnsi="FangSong_GB2312" w:cs="FangSong_GB2312" w:hint="eastAsia"/>
          <w:bCs/>
          <w:sz w:val="32"/>
          <w:szCs w:val="32"/>
        </w:rPr>
        <w:t>月</w:t>
      </w:r>
      <w:r w:rsidR="009F6DE1">
        <w:rPr>
          <w:rFonts w:ascii="FangSong_GB2312" w:eastAsia="FangSong_GB2312" w:hAnsi="FangSong_GB2312" w:cs="FangSong_GB2312"/>
          <w:bCs/>
          <w:sz w:val="32"/>
          <w:szCs w:val="32"/>
        </w:rPr>
        <w:t>5</w:t>
      </w:r>
      <w:r>
        <w:rPr>
          <w:rFonts w:ascii="FangSong_GB2312" w:eastAsia="FangSong_GB2312" w:hAnsi="FangSong_GB2312" w:cs="FangSong_GB2312" w:hint="eastAsia"/>
          <w:bCs/>
          <w:sz w:val="32"/>
          <w:szCs w:val="32"/>
        </w:rPr>
        <w:t>日</w:t>
      </w:r>
    </w:p>
    <w:p w14:paraId="597E48E3" w14:textId="7AA23131" w:rsidR="00D760D8" w:rsidRDefault="00D760D8" w:rsidP="00055507">
      <w:pPr>
        <w:pStyle w:val="a4"/>
        <w:spacing w:after="0" w:line="600" w:lineRule="atLeast"/>
        <w:ind w:firstLineChars="0" w:firstLine="0"/>
        <w:jc w:val="left"/>
      </w:pPr>
    </w:p>
    <w:p w14:paraId="3B461532" w14:textId="77777777" w:rsidR="000268E3" w:rsidRDefault="000268E3" w:rsidP="00055507">
      <w:pPr>
        <w:pStyle w:val="a4"/>
        <w:spacing w:after="0" w:line="600" w:lineRule="atLeast"/>
        <w:ind w:firstLineChars="0" w:firstLine="0"/>
        <w:jc w:val="left"/>
      </w:pPr>
    </w:p>
    <w:p w14:paraId="5CBF0E8B" w14:textId="77777777" w:rsidR="00D760D8" w:rsidRDefault="00D760D8" w:rsidP="00055507">
      <w:pPr>
        <w:pStyle w:val="a4"/>
        <w:spacing w:after="0" w:line="600" w:lineRule="atLeast"/>
        <w:ind w:firstLineChars="0" w:firstLine="0"/>
        <w:jc w:val="left"/>
      </w:pPr>
    </w:p>
    <w:sectPr w:rsidR="00D760D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2BE85" w14:textId="77777777" w:rsidR="007D548E" w:rsidRDefault="007D548E">
      <w:r>
        <w:separator/>
      </w:r>
    </w:p>
  </w:endnote>
  <w:endnote w:type="continuationSeparator" w:id="0">
    <w:p w14:paraId="57FEFCFE" w14:textId="77777777" w:rsidR="007D548E" w:rsidRDefault="007D5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w:charset w:val="86"/>
    <w:family w:val="auto"/>
    <w:pitch w:val="default"/>
    <w:sig w:usb0="00000001" w:usb1="080E0000" w:usb2="00000000" w:usb3="00000000" w:csb0="00040000" w:csb1="00000000"/>
  </w:font>
  <w:font w:name="FangSong_GB2312">
    <w:altName w:val="仿宋"/>
    <w:panose1 w:val="02010609060101010101"/>
    <w:charset w:val="86"/>
    <w:family w:val="modern"/>
    <w:pitch w:val="fixed"/>
    <w:sig w:usb0="00000001" w:usb1="080E0000" w:usb2="00000010" w:usb3="00000000" w:csb0="00040000" w:csb1="00000000"/>
  </w:font>
  <w:font w:name="FZXiaoBiaoSong-B05S">
    <w:panose1 w:val="02010601030101010101"/>
    <w:charset w:val="86"/>
    <w:family w:val="auto"/>
    <w:pitch w:val="variable"/>
    <w:sig w:usb0="00000001" w:usb1="080E0000" w:usb2="00000010" w:usb3="00000000" w:csb0="00040000" w:csb1="00000000"/>
  </w:font>
  <w:font w:name="STZhongsong">
    <w:altName w:val="华文中宋"/>
    <w:panose1 w:val="02010600040101010101"/>
    <w:charset w:val="86"/>
    <w:family w:val="auto"/>
    <w:pitch w:val="variable"/>
    <w:sig w:usb0="00000287" w:usb1="080F0000" w:usb2="00000010" w:usb3="00000000" w:csb0="0004009F" w:csb1="00000000"/>
  </w:font>
  <w:font w:name="SimHei">
    <w:altName w:val="黑体"/>
    <w:panose1 w:val="02010609060101010101"/>
    <w:charset w:val="86"/>
    <w:family w:val="modern"/>
    <w:pitch w:val="fixed"/>
    <w:sig w:usb0="800002BF" w:usb1="38CF7CFA" w:usb2="00000016" w:usb3="00000000" w:csb0="00040001" w:csb1="00000000"/>
  </w:font>
  <w:font w:name="KaiTi_GB2312">
    <w:altName w:val="楷体"/>
    <w:panose1 w:val="02010609060101010101"/>
    <w:charset w:val="86"/>
    <w:family w:val="auto"/>
    <w:pitch w:val="default"/>
    <w:sig w:usb0="800002BF" w:usb1="38CF7CFA" w:usb2="00000016" w:usb3="00000000" w:csb0="00040001" w:csb1="00000000"/>
  </w:font>
  <w:font w:name="FangSong">
    <w:altName w:val="仿宋"/>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2A45F" w14:textId="77777777" w:rsidR="00D760D8" w:rsidRDefault="000F412D">
    <w:pPr>
      <w:pStyle w:val="a5"/>
    </w:pPr>
    <w:r>
      <w:rPr>
        <w:noProof/>
      </w:rPr>
      <mc:AlternateContent>
        <mc:Choice Requires="wps">
          <w:drawing>
            <wp:anchor distT="0" distB="0" distL="114300" distR="114300" simplePos="0" relativeHeight="251659264" behindDoc="0" locked="0" layoutInCell="1" allowOverlap="1" wp14:anchorId="40DACDA1" wp14:editId="250F71C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8BD1E7" w14:textId="77777777" w:rsidR="00D760D8" w:rsidRDefault="000F412D">
                          <w:pPr>
                            <w:pStyle w:val="a5"/>
                          </w:pPr>
                          <w:r>
                            <w:t xml:space="preserve">— </w:t>
                          </w:r>
                          <w:r>
                            <w:rPr>
                              <w:rFonts w:asciiTheme="minorEastAsia" w:hAnsiTheme="minorEastAsia" w:cstheme="minorEastAsia" w:hint="eastAsia"/>
                              <w:sz w:val="32"/>
                              <w:szCs w:val="32"/>
                            </w:rPr>
                            <w:fldChar w:fldCharType="begin"/>
                          </w:r>
                          <w:r>
                            <w:rPr>
                              <w:rFonts w:asciiTheme="minorEastAsia" w:hAnsiTheme="minorEastAsia" w:cstheme="minorEastAsia" w:hint="eastAsia"/>
                              <w:sz w:val="32"/>
                              <w:szCs w:val="32"/>
                            </w:rPr>
                            <w:instrText xml:space="preserve"> PAGE  \* MERGEFORMAT </w:instrText>
                          </w:r>
                          <w:r>
                            <w:rPr>
                              <w:rFonts w:asciiTheme="minorEastAsia" w:hAnsiTheme="minorEastAsia" w:cstheme="minorEastAsia" w:hint="eastAsia"/>
                              <w:sz w:val="32"/>
                              <w:szCs w:val="32"/>
                            </w:rPr>
                            <w:fldChar w:fldCharType="separate"/>
                          </w:r>
                          <w:r>
                            <w:rPr>
                              <w:rFonts w:asciiTheme="minorEastAsia" w:hAnsiTheme="minorEastAsia" w:cstheme="minorEastAsia" w:hint="eastAsia"/>
                              <w:sz w:val="32"/>
                              <w:szCs w:val="32"/>
                            </w:rPr>
                            <w:t>1</w:t>
                          </w:r>
                          <w:r>
                            <w:rPr>
                              <w:rFonts w:asciiTheme="minorEastAsia" w:hAnsiTheme="minorEastAsia" w:cstheme="minorEastAsia" w:hint="eastAsia"/>
                              <w:sz w:val="32"/>
                              <w:szCs w:val="32"/>
                            </w:rPr>
                            <w:fldChar w:fldCharType="end"/>
                          </w:r>
                          <w:r>
                            <w:rPr>
                              <w:rFonts w:asciiTheme="minorEastAsia" w:hAnsiTheme="minorEastAsia" w:cstheme="minorEastAsia" w:hint="eastAsia"/>
                              <w:sz w:val="32"/>
                              <w:szCs w:val="32"/>
                            </w:rPr>
                            <w:t xml:space="preserve"> </w:t>
                          </w:r>
                          <w: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0DACDA1"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5C8BD1E7" w14:textId="77777777" w:rsidR="00D760D8" w:rsidRDefault="000F412D">
                    <w:pPr>
                      <w:pStyle w:val="a5"/>
                    </w:pPr>
                    <w:r>
                      <w:t xml:space="preserve">— </w:t>
                    </w:r>
                    <w:r>
                      <w:rPr>
                        <w:rFonts w:asciiTheme="minorEastAsia" w:hAnsiTheme="minorEastAsia" w:cstheme="minorEastAsia" w:hint="eastAsia"/>
                        <w:sz w:val="32"/>
                        <w:szCs w:val="32"/>
                      </w:rPr>
                      <w:fldChar w:fldCharType="begin"/>
                    </w:r>
                    <w:r>
                      <w:rPr>
                        <w:rFonts w:asciiTheme="minorEastAsia" w:hAnsiTheme="minorEastAsia" w:cstheme="minorEastAsia" w:hint="eastAsia"/>
                        <w:sz w:val="32"/>
                        <w:szCs w:val="32"/>
                      </w:rPr>
                      <w:instrText xml:space="preserve"> PAGE  \* MERGEFORMAT </w:instrText>
                    </w:r>
                    <w:r>
                      <w:rPr>
                        <w:rFonts w:asciiTheme="minorEastAsia" w:hAnsiTheme="minorEastAsia" w:cstheme="minorEastAsia" w:hint="eastAsia"/>
                        <w:sz w:val="32"/>
                        <w:szCs w:val="32"/>
                      </w:rPr>
                      <w:fldChar w:fldCharType="separate"/>
                    </w:r>
                    <w:r>
                      <w:rPr>
                        <w:rFonts w:asciiTheme="minorEastAsia" w:hAnsiTheme="minorEastAsia" w:cstheme="minorEastAsia" w:hint="eastAsia"/>
                        <w:sz w:val="32"/>
                        <w:szCs w:val="32"/>
                      </w:rPr>
                      <w:t>1</w:t>
                    </w:r>
                    <w:r>
                      <w:rPr>
                        <w:rFonts w:asciiTheme="minorEastAsia" w:hAnsiTheme="minorEastAsia" w:cstheme="minorEastAsia" w:hint="eastAsia"/>
                        <w:sz w:val="32"/>
                        <w:szCs w:val="32"/>
                      </w:rPr>
                      <w:fldChar w:fldCharType="end"/>
                    </w:r>
                    <w:r>
                      <w:rPr>
                        <w:rFonts w:asciiTheme="minorEastAsia" w:hAnsiTheme="minorEastAsia" w:cstheme="minorEastAsia" w:hint="eastAsia"/>
                        <w:sz w:val="32"/>
                        <w:szCs w:val="32"/>
                      </w:rPr>
                      <w:t xml:space="preserve"> </w:t>
                    </w:r>
                    <w: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95DC5" w14:textId="77777777" w:rsidR="007D548E" w:rsidRDefault="007D548E">
      <w:r>
        <w:separator/>
      </w:r>
    </w:p>
  </w:footnote>
  <w:footnote w:type="continuationSeparator" w:id="0">
    <w:p w14:paraId="370CC6EF" w14:textId="77777777" w:rsidR="007D548E" w:rsidRDefault="007D54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FiMDA3ZjRiYTNiN2VhODJlOGE1ZDBjOWY3ZTNmNWIifQ=="/>
  </w:docVars>
  <w:rsids>
    <w:rsidRoot w:val="1BC90B2C"/>
    <w:rsid w:val="E97ECE4F"/>
    <w:rsid w:val="00025D14"/>
    <w:rsid w:val="000268E3"/>
    <w:rsid w:val="00055507"/>
    <w:rsid w:val="000C6921"/>
    <w:rsid w:val="000F412D"/>
    <w:rsid w:val="00175C57"/>
    <w:rsid w:val="00294F38"/>
    <w:rsid w:val="00370948"/>
    <w:rsid w:val="00652E3A"/>
    <w:rsid w:val="007D548E"/>
    <w:rsid w:val="008057BE"/>
    <w:rsid w:val="00925485"/>
    <w:rsid w:val="009E2C15"/>
    <w:rsid w:val="009F6DE1"/>
    <w:rsid w:val="00AA7428"/>
    <w:rsid w:val="00BB0631"/>
    <w:rsid w:val="00C84000"/>
    <w:rsid w:val="00CA7A39"/>
    <w:rsid w:val="00D760D8"/>
    <w:rsid w:val="00DE5562"/>
    <w:rsid w:val="00E11B9E"/>
    <w:rsid w:val="00FA72D8"/>
    <w:rsid w:val="1BC90B2C"/>
    <w:rsid w:val="2C2C3639"/>
    <w:rsid w:val="39363667"/>
    <w:rsid w:val="42D82300"/>
    <w:rsid w:val="7FD63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12CC9B"/>
  <w15:docId w15:val="{5135D9C3-C756-4BD1-A3F9-FB348C271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6" w:uiPriority="99"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next w:val="6"/>
    <w:uiPriority w:val="99"/>
    <w:qFormat/>
    <w:pPr>
      <w:widowControl w:val="0"/>
      <w:ind w:firstLineChars="200" w:firstLine="420"/>
      <w:jc w:val="both"/>
    </w:pPr>
    <w:rPr>
      <w:rFonts w:ascii="Calibri" w:eastAsia="SimSun" w:hAnsi="Calibri" w:cs="Times New Roman"/>
      <w:kern w:val="2"/>
      <w:sz w:val="21"/>
      <w:szCs w:val="24"/>
    </w:rPr>
  </w:style>
  <w:style w:type="paragraph" w:styleId="6">
    <w:name w:val="index 6"/>
    <w:next w:val="a"/>
    <w:uiPriority w:val="99"/>
    <w:unhideWhenUsed/>
    <w:qFormat/>
    <w:pPr>
      <w:widowControl w:val="0"/>
      <w:ind w:left="2100"/>
      <w:jc w:val="both"/>
    </w:pPr>
    <w:rPr>
      <w:rFonts w:ascii="Times New Roman" w:eastAsia="SimSun" w:hAnsi="Times New Roman" w:cs="Times New Roman"/>
      <w:kern w:val="2"/>
      <w:sz w:val="21"/>
      <w:szCs w:val="24"/>
    </w:rPr>
  </w:style>
  <w:style w:type="paragraph" w:styleId="a3">
    <w:name w:val="Body Text"/>
    <w:basedOn w:val="a"/>
    <w:next w:val="a4"/>
    <w:qFormat/>
    <w:pPr>
      <w:spacing w:after="120"/>
    </w:pPr>
    <w:rPr>
      <w:rFonts w:ascii="Times New Roman" w:hAnsi="Times New Roman"/>
    </w:rPr>
  </w:style>
  <w:style w:type="paragraph" w:styleId="a4">
    <w:name w:val="Body Text First Indent"/>
    <w:basedOn w:val="a3"/>
    <w:qFormat/>
    <w:pPr>
      <w:ind w:firstLineChars="100" w:firstLine="420"/>
    </w:pPr>
    <w:rPr>
      <w:rFonts w:ascii="Calibri" w:hAnsi="Calibri"/>
      <w:kern w:val="0"/>
      <w:sz w:val="20"/>
      <w:szCs w:val="20"/>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6</Pages>
  <Words>359</Words>
  <Characters>2048</Characters>
  <Application>Microsoft Office Word</Application>
  <DocSecurity>0</DocSecurity>
  <Lines>17</Lines>
  <Paragraphs>4</Paragraphs>
  <ScaleCrop>false</ScaleCrop>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WPS_1479222081</dc:creator>
  <cp:lastModifiedBy>GFaC</cp:lastModifiedBy>
  <cp:revision>18</cp:revision>
  <cp:lastPrinted>2025-02-06T07:16:00Z</cp:lastPrinted>
  <dcterms:created xsi:type="dcterms:W3CDTF">2022-11-14T17:47:00Z</dcterms:created>
  <dcterms:modified xsi:type="dcterms:W3CDTF">2025-02-06T07:19:00Z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251A694571E34A01B461DDC6BB55DCD1_13</vt:lpwstr>
  </property>
  <property fmtid="{D5CDD505-2E9C-101B-9397-08002B2CF9AE}" pid="4" name="KSOTemplateDocerSaveRecord">
    <vt:lpwstr>eyJoZGlkIjoiYmQ3NjQxYmZmN2ZkODIxYWNiNTEzMzQyMTZmNzQ1MmMiLCJ1c2VySWQiOiI0ODkwNzU1NDIifQ==</vt:lpwstr>
  </property>
</Properties>
</file>