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sz w:val="28"/>
          <w:szCs w:val="28"/>
        </w:rPr>
      </w:pPr>
      <w:r>
        <w:rPr>
          <w:rFonts w:eastAsia="黑体"/>
          <w:sz w:val="32"/>
          <w:szCs w:val="32"/>
        </w:rPr>
        <w:t>附件</w:t>
      </w:r>
    </w:p>
    <w:p>
      <w:pPr>
        <w:spacing w:line="600" w:lineRule="exact"/>
        <w:jc w:val="center"/>
        <w:rPr>
          <w:rFonts w:eastAsia="方正小标宋简体"/>
          <w:bCs/>
          <w:sz w:val="36"/>
          <w:szCs w:val="36"/>
        </w:rPr>
      </w:pPr>
      <w:r>
        <w:rPr>
          <w:rFonts w:eastAsia="方正小标宋简体"/>
          <w:bCs/>
          <w:sz w:val="36"/>
          <w:szCs w:val="36"/>
        </w:rPr>
        <w:t>南安市</w:t>
      </w:r>
      <w:r>
        <w:rPr>
          <w:rFonts w:hint="eastAsia" w:eastAsia="方正小标宋简体"/>
          <w:bCs/>
          <w:sz w:val="36"/>
          <w:szCs w:val="36"/>
          <w:lang w:val="en-US" w:eastAsia="zh-CN"/>
        </w:rPr>
        <w:t>5</w:t>
      </w:r>
      <w:r>
        <w:rPr>
          <w:rFonts w:eastAsia="方正小标宋简体"/>
          <w:bCs/>
          <w:sz w:val="36"/>
          <w:szCs w:val="36"/>
        </w:rPr>
        <w:t>月份环评文件编制质量清单</w:t>
      </w:r>
    </w:p>
    <w:tbl>
      <w:tblPr>
        <w:tblStyle w:val="4"/>
        <w:tblW w:w="15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95"/>
        <w:gridCol w:w="933"/>
        <w:gridCol w:w="1417"/>
        <w:gridCol w:w="1276"/>
        <w:gridCol w:w="992"/>
        <w:gridCol w:w="992"/>
        <w:gridCol w:w="709"/>
        <w:gridCol w:w="1134"/>
        <w:gridCol w:w="992"/>
        <w:gridCol w:w="730"/>
        <w:gridCol w:w="3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34" w:type="dxa"/>
            <w:shd w:val="clear" w:color="auto" w:fill="auto"/>
            <w:vAlign w:val="center"/>
          </w:tcPr>
          <w:p>
            <w:pPr>
              <w:widowControl/>
              <w:jc w:val="center"/>
              <w:rPr>
                <w:kern w:val="0"/>
                <w:sz w:val="24"/>
              </w:rPr>
            </w:pPr>
            <w:r>
              <w:rPr>
                <w:rFonts w:hint="eastAsia" w:ascii="宋体" w:hAnsi="宋体"/>
                <w:kern w:val="0"/>
                <w:sz w:val="24"/>
              </w:rPr>
              <w:t>序号</w:t>
            </w:r>
          </w:p>
        </w:tc>
        <w:tc>
          <w:tcPr>
            <w:tcW w:w="2195" w:type="dxa"/>
            <w:shd w:val="clear" w:color="auto" w:fill="auto"/>
            <w:vAlign w:val="center"/>
          </w:tcPr>
          <w:p>
            <w:pPr>
              <w:widowControl/>
              <w:jc w:val="center"/>
              <w:rPr>
                <w:kern w:val="0"/>
                <w:sz w:val="24"/>
              </w:rPr>
            </w:pPr>
            <w:r>
              <w:rPr>
                <w:rFonts w:hint="eastAsia" w:ascii="宋体" w:hAnsi="宋体"/>
                <w:kern w:val="0"/>
                <w:sz w:val="24"/>
              </w:rPr>
              <w:t>项目名称</w:t>
            </w:r>
          </w:p>
        </w:tc>
        <w:tc>
          <w:tcPr>
            <w:tcW w:w="933" w:type="dxa"/>
            <w:shd w:val="clear" w:color="auto" w:fill="auto"/>
            <w:vAlign w:val="center"/>
          </w:tcPr>
          <w:p>
            <w:pPr>
              <w:widowControl/>
              <w:jc w:val="center"/>
              <w:rPr>
                <w:kern w:val="0"/>
                <w:sz w:val="24"/>
              </w:rPr>
            </w:pPr>
            <w:r>
              <w:rPr>
                <w:rFonts w:hint="eastAsia" w:ascii="宋体" w:hAnsi="宋体"/>
                <w:kern w:val="0"/>
                <w:sz w:val="24"/>
              </w:rPr>
              <w:t>所属行业类别</w:t>
            </w:r>
          </w:p>
        </w:tc>
        <w:tc>
          <w:tcPr>
            <w:tcW w:w="1417" w:type="dxa"/>
            <w:shd w:val="clear" w:color="auto" w:fill="auto"/>
            <w:vAlign w:val="center"/>
          </w:tcPr>
          <w:p>
            <w:pPr>
              <w:widowControl/>
              <w:jc w:val="center"/>
              <w:rPr>
                <w:kern w:val="0"/>
                <w:sz w:val="24"/>
              </w:rPr>
            </w:pPr>
            <w:r>
              <w:rPr>
                <w:rFonts w:hint="eastAsia" w:ascii="宋体" w:hAnsi="宋体"/>
                <w:kern w:val="0"/>
                <w:sz w:val="24"/>
              </w:rPr>
              <w:t>建设单位</w:t>
            </w:r>
          </w:p>
        </w:tc>
        <w:tc>
          <w:tcPr>
            <w:tcW w:w="1276" w:type="dxa"/>
            <w:shd w:val="clear" w:color="auto" w:fill="auto"/>
            <w:vAlign w:val="center"/>
          </w:tcPr>
          <w:p>
            <w:pPr>
              <w:widowControl/>
              <w:jc w:val="center"/>
              <w:rPr>
                <w:kern w:val="0"/>
                <w:sz w:val="24"/>
              </w:rPr>
            </w:pPr>
            <w:r>
              <w:rPr>
                <w:rFonts w:hint="eastAsia" w:ascii="宋体" w:hAnsi="宋体"/>
                <w:kern w:val="0"/>
                <w:sz w:val="24"/>
              </w:rPr>
              <w:t>建设地点</w:t>
            </w:r>
          </w:p>
        </w:tc>
        <w:tc>
          <w:tcPr>
            <w:tcW w:w="992" w:type="dxa"/>
            <w:shd w:val="clear" w:color="auto" w:fill="auto"/>
            <w:vAlign w:val="center"/>
          </w:tcPr>
          <w:p>
            <w:pPr>
              <w:widowControl/>
              <w:jc w:val="center"/>
              <w:rPr>
                <w:kern w:val="0"/>
                <w:sz w:val="24"/>
              </w:rPr>
            </w:pPr>
            <w:r>
              <w:rPr>
                <w:rFonts w:hint="eastAsia" w:ascii="宋体" w:hAnsi="宋体"/>
                <w:kern w:val="0"/>
                <w:sz w:val="24"/>
              </w:rPr>
              <w:t>审批日期</w:t>
            </w:r>
          </w:p>
        </w:tc>
        <w:tc>
          <w:tcPr>
            <w:tcW w:w="992" w:type="dxa"/>
            <w:shd w:val="clear" w:color="auto" w:fill="auto"/>
            <w:vAlign w:val="center"/>
          </w:tcPr>
          <w:p>
            <w:pPr>
              <w:widowControl/>
              <w:jc w:val="center"/>
              <w:rPr>
                <w:kern w:val="0"/>
                <w:sz w:val="24"/>
              </w:rPr>
            </w:pPr>
            <w:r>
              <w:rPr>
                <w:rFonts w:hint="eastAsia" w:ascii="宋体" w:hAnsi="宋体"/>
                <w:kern w:val="0"/>
                <w:sz w:val="24"/>
              </w:rPr>
              <w:t>审批文号</w:t>
            </w:r>
          </w:p>
        </w:tc>
        <w:tc>
          <w:tcPr>
            <w:tcW w:w="709" w:type="dxa"/>
            <w:shd w:val="clear" w:color="auto" w:fill="auto"/>
            <w:vAlign w:val="center"/>
          </w:tcPr>
          <w:p>
            <w:pPr>
              <w:widowControl/>
              <w:jc w:val="center"/>
              <w:rPr>
                <w:kern w:val="0"/>
                <w:sz w:val="24"/>
              </w:rPr>
            </w:pPr>
            <w:r>
              <w:rPr>
                <w:rFonts w:hint="eastAsia" w:ascii="宋体" w:hAnsi="宋体"/>
                <w:kern w:val="0"/>
                <w:sz w:val="24"/>
              </w:rPr>
              <w:t>环评类型</w:t>
            </w:r>
          </w:p>
        </w:tc>
        <w:tc>
          <w:tcPr>
            <w:tcW w:w="1134" w:type="dxa"/>
            <w:shd w:val="clear" w:color="auto" w:fill="auto"/>
            <w:vAlign w:val="center"/>
          </w:tcPr>
          <w:p>
            <w:pPr>
              <w:widowControl/>
              <w:jc w:val="center"/>
              <w:rPr>
                <w:kern w:val="0"/>
                <w:sz w:val="24"/>
              </w:rPr>
            </w:pPr>
            <w:r>
              <w:rPr>
                <w:rFonts w:hint="eastAsia" w:ascii="宋体" w:hAnsi="宋体"/>
                <w:kern w:val="0"/>
                <w:sz w:val="24"/>
              </w:rPr>
              <w:t>环评单位</w:t>
            </w:r>
          </w:p>
        </w:tc>
        <w:tc>
          <w:tcPr>
            <w:tcW w:w="992" w:type="dxa"/>
            <w:shd w:val="clear" w:color="auto" w:fill="auto"/>
            <w:vAlign w:val="center"/>
          </w:tcPr>
          <w:p>
            <w:pPr>
              <w:widowControl/>
              <w:jc w:val="center"/>
              <w:rPr>
                <w:rFonts w:hint="eastAsia" w:ascii="宋体" w:hAnsi="宋体" w:eastAsia="宋体"/>
                <w:kern w:val="0"/>
                <w:sz w:val="24"/>
                <w:lang w:eastAsia="zh-CN"/>
              </w:rPr>
            </w:pPr>
            <w:r>
              <w:rPr>
                <w:rFonts w:hint="eastAsia" w:ascii="宋体" w:hAnsi="宋体"/>
                <w:kern w:val="0"/>
                <w:sz w:val="24"/>
              </w:rPr>
              <w:t>项目</w:t>
            </w:r>
          </w:p>
          <w:p>
            <w:pPr>
              <w:widowControl/>
              <w:jc w:val="center"/>
              <w:rPr>
                <w:kern w:val="0"/>
                <w:sz w:val="24"/>
              </w:rPr>
            </w:pPr>
            <w:r>
              <w:rPr>
                <w:rFonts w:hint="eastAsia" w:ascii="宋体" w:hAnsi="宋体"/>
                <w:kern w:val="0"/>
                <w:sz w:val="24"/>
              </w:rPr>
              <w:t>负责人</w:t>
            </w:r>
          </w:p>
        </w:tc>
        <w:tc>
          <w:tcPr>
            <w:tcW w:w="730" w:type="dxa"/>
            <w:shd w:val="clear" w:color="auto" w:fill="auto"/>
            <w:vAlign w:val="center"/>
          </w:tcPr>
          <w:p>
            <w:pPr>
              <w:widowControl/>
              <w:jc w:val="center"/>
              <w:rPr>
                <w:kern w:val="0"/>
                <w:sz w:val="24"/>
              </w:rPr>
            </w:pPr>
            <w:r>
              <w:rPr>
                <w:rFonts w:hint="eastAsia" w:ascii="宋体" w:hAnsi="宋体"/>
                <w:kern w:val="0"/>
                <w:sz w:val="24"/>
              </w:rPr>
              <w:t>质量评分</w:t>
            </w:r>
          </w:p>
        </w:tc>
        <w:tc>
          <w:tcPr>
            <w:tcW w:w="3972" w:type="dxa"/>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环评质量存在的</w:t>
            </w:r>
          </w:p>
          <w:p>
            <w:pPr>
              <w:widowControl/>
              <w:jc w:val="center"/>
              <w:rPr>
                <w:rFonts w:ascii="宋体" w:hAnsi="宋体" w:cs="宋体"/>
                <w:kern w:val="0"/>
                <w:sz w:val="24"/>
              </w:rPr>
            </w:pPr>
            <w:r>
              <w:rPr>
                <w:rFonts w:hint="eastAsia" w:ascii="宋体" w:hAnsi="宋体" w:cs="宋体"/>
                <w:kern w:val="0"/>
                <w:sz w:val="24"/>
              </w:rPr>
              <w:t>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2"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福建南安市蔡友谊石材有限公司年加工30万平方米工程板、5000平方米异形石板材项目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福建南安市蔡友谊石材有限公司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南安市水头镇下店村下邦（滨海石材加工集中区）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2024/5/7</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泉南环评〔2024〕表91号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福建省元竞环境科技有限公司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王成民</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65</w:t>
            </w:r>
          </w:p>
        </w:tc>
        <w:tc>
          <w:tcPr>
            <w:tcW w:w="3972" w:type="dxa"/>
            <w:shd w:val="clear" w:color="auto" w:fill="auto"/>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1.补充周边环境相容性。</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2.物料平衡未考虑污泥产出量，应核实。</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3.细化初期与水池与沉淀池连接方式，并将初期雨水系统纳入环保措施检查清单与环保投资，完善厂区给排水管网图。</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4.结合《南安市建筑饰面石材加工集中区环境管理实施方案》，完善厂区雨水收集系统和初期雨水污染防治相关内容分析。</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5.附件16租赁合同条款中，约定了该地块做物流、仓储用途使用，本项目从事石材生产应取得甲方的书面同意。</w:t>
            </w:r>
          </w:p>
          <w:p>
            <w:pPr>
              <w:widowControl/>
              <w:jc w:val="left"/>
              <w:rPr>
                <w:rFonts w:ascii="宋体" w:hAnsi="宋体" w:cs="宋体"/>
                <w:kern w:val="0"/>
                <w:sz w:val="22"/>
                <w:szCs w:val="22"/>
              </w:rPr>
            </w:pPr>
            <w:r>
              <w:rPr>
                <w:rFonts w:hint="eastAsia" w:ascii="宋体" w:hAnsi="宋体" w:cs="宋体"/>
                <w:kern w:val="0"/>
                <w:sz w:val="22"/>
                <w:szCs w:val="22"/>
              </w:rPr>
              <w:t>6.完善相关图件和附件。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4"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南安市圆亿石材有限公司年加工25万平方米石板材、5万平方米异形石板材项目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南安市圆亿石材有限公司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南安市水头镇仁福村大埔76号（仁福石材加工集中区）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2024/5/8</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泉南环评〔2024〕表92号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福建省元竞环境科技有限公司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王成民</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3972" w:type="dxa"/>
            <w:shd w:val="clear" w:color="auto" w:fill="auto"/>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1.通过测绘鉴定的方法核实本项目与沈海高速公路、高速铁路用地外缘的距离，分析项目与《公路安全保护条例》、</w:t>
            </w:r>
            <w:r>
              <w:rPr>
                <w:rFonts w:hint="eastAsia" w:ascii="宋体" w:hAnsi="宋体" w:cs="宋体"/>
                <w:kern w:val="0"/>
                <w:sz w:val="22"/>
                <w:szCs w:val="22"/>
                <w:lang w:eastAsia="zh-CN"/>
              </w:rPr>
              <w:t>《铁路安全管理条例》</w:t>
            </w:r>
            <w:r>
              <w:rPr>
                <w:rFonts w:hint="eastAsia" w:ascii="宋体" w:hAnsi="宋体" w:cs="宋体"/>
                <w:kern w:val="0"/>
                <w:sz w:val="22"/>
                <w:szCs w:val="22"/>
              </w:rPr>
              <w:t>中有关铁路线路安全保护区、高速公路用地外缘30m距离建设要求的符合性。</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2.补充周边环境相容性。</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3.物料平衡未考虑污泥产出量，应核实。</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4.细化初期与水池与沉淀池连接方式，并将初期雨水系统纳入环保措施检查清单与环保投资，完善厂区给排水管网图。</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5.结合《南安市建筑饰面石材加工集中区环境管理实施方案》，完善厂区雨水收集系统和初期雨水污染防治相关内容分析。</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6.项目采取的灌溉方式通常为喷灌和微灌，与附件7灌溉协议内容不同，应核实说明将浇灌费用纳入环保投资；明确清水池容积，分析其是否满足雨天储水需求。</w:t>
            </w:r>
          </w:p>
          <w:p>
            <w:pPr>
              <w:widowControl/>
              <w:jc w:val="left"/>
              <w:rPr>
                <w:rFonts w:ascii="宋体" w:hAnsi="宋体" w:cs="宋体"/>
                <w:kern w:val="0"/>
                <w:sz w:val="22"/>
                <w:szCs w:val="22"/>
              </w:rPr>
            </w:pPr>
            <w:r>
              <w:rPr>
                <w:rFonts w:hint="eastAsia" w:ascii="宋体" w:hAnsi="宋体" w:cs="宋体"/>
                <w:kern w:val="0"/>
                <w:sz w:val="22"/>
                <w:szCs w:val="22"/>
              </w:rPr>
              <w:t>7.完善相关图件和附件。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3"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福建省南安市群益石材有限公司年产大理石复合板10万平方米、花岗岩复合板10万平方米、异形石材5000立方米项目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C3032 C3039</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福建省南安市群益石材有限公司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南安市官桥镇内厝莲湖路426号（南联石材加工集中区）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2024/5/8</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泉南环评〔2024〕表93号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福建省朗洁环保科技有限公司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黄文科</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1.核实与规划的符合性分析；补充与《南安市建筑饰面石材加工集中区环境管理实施方案》准入条件的符合性分析。                                                   2.与项目有关的环境问题未按技术指南规范编制。                                                                    3.补充湿法作业收集效率100%、收集效率90%的合理性；明确活性炭装置的级数；非正常排放情况前后不一致。                                                                                    4.原辅料遗漏絮凝剂；应补充初期雨水的收集处理措施。                                                                              5.进一步补充风险防范措施；核实地下水、土壤分析内容。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南安晋兴包装有限公司年加工纸箱20万件项目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C2231</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南安晋兴包装有限公司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南安市丰州镇素雅村素雅工业区30号</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2024/5/8</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泉南环评〔2024〕表94号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泉州市绿尚环保科技有限公司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刘玉</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进一步论证选址合理性（生产废水产生量及处理可行性，存在的环境风险等）。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5"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南安协晟石材有限公司年产20万平方米花岗岩板材，10万平方米异形石板材项目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南安协晟石材有限公司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南安市水头镇龙风村蟠龙630号（水头滨海石材加工集中区）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2024/5/8</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泉南环评〔2024〕表95号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浙江辉志环保科技有限公司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王英明</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61</w:t>
            </w:r>
          </w:p>
        </w:tc>
        <w:tc>
          <w:tcPr>
            <w:tcW w:w="3972" w:type="dxa"/>
            <w:shd w:val="clear" w:color="auto" w:fill="auto"/>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1.结合厂界噪声和废气无组织排放影响分析结果，完善周边环境相容性分析。</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2.补充出租方原厂房调查，明确工程组成中的依托工程设施，并分析依托的可行性，如沉淀池是否够用、雨污分流系统可靠性、厂房围墙减震降噪措施的可行性等。</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3.补充设备安装等施工期的环保措施分析。</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4.补充高噪声设备的三维坐标，细化减震降噪措施的额降噪效果（不同设备采取不同降噪措施，降噪效果不同，不会出现相同降噪值），核实噪声预测结果（含敏感点的声环境叠加值）。</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5.细化沉淀池的容量与规格，分析沉淀池容纳最大废水量与污泥量，明确池内污泥清运周期，提出沉淀池管理与废水事故排放的管控要求。</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6.结合《南安市建筑饰面石材加工集中区环境管理实施方案》，完善厂区雨水收集系统和初期雨水污染防治相关内容分析。</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7.项目场地租赁时间仅10年，应补充退役期影响分析内容。</w:t>
            </w:r>
          </w:p>
          <w:p>
            <w:pPr>
              <w:widowControl/>
              <w:jc w:val="left"/>
              <w:rPr>
                <w:rFonts w:ascii="宋体" w:hAnsi="宋体" w:cs="宋体"/>
                <w:kern w:val="0"/>
                <w:sz w:val="22"/>
                <w:szCs w:val="22"/>
              </w:rPr>
            </w:pPr>
            <w:r>
              <w:rPr>
                <w:rFonts w:hint="eastAsia" w:ascii="宋体" w:hAnsi="宋体" w:cs="宋体"/>
                <w:kern w:val="0"/>
                <w:sz w:val="22"/>
                <w:szCs w:val="22"/>
              </w:rPr>
              <w:t>8.完善相关图件和附件。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0"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南安中迅石材有限公司年产花岗岩板材20万平方米，异形石材10万平方米项目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南安中迅石材有限公司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南安市水头镇奎峰工业区下乡342号（水头滨海石材加工集中区）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2024/5/9</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泉南环评〔2024〕表96号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浙江辉志环保科技有限公司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王英明</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61</w:t>
            </w:r>
          </w:p>
        </w:tc>
        <w:tc>
          <w:tcPr>
            <w:tcW w:w="3972" w:type="dxa"/>
            <w:shd w:val="clear" w:color="auto" w:fill="auto"/>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1.P13表2-4给出的废水产污系数，由此计算出石材加工废水，而非喷淋冷却用水量，故应核实喷淋用水量，并给出合理依据，完善水平衡。</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2.车间非封闭式，应分析设置换气设施的合理性。</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3.补充物料衡算表，并说明数据的计算过程。</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4.结合《南安市建筑饰面石材加工集中区环境管理实施方案》，完善厂区雨水收集系统和初期雨水污染防治相关内容分析。</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5.明确过渡期浇灌的农地位置、规模，分析接纳浇灌废水的可行性，提出浇灌措施和环境管理要求等；说明过渡期集液池设置地点。</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6.通过原辅料理化性质环境风险分析，规范环境风险防范措施（石材加工没有可燃物质）。</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7.项目场地租赁时间仅余5年，应补充退役期影响分析内容。</w:t>
            </w:r>
          </w:p>
          <w:p>
            <w:pPr>
              <w:widowControl/>
              <w:jc w:val="left"/>
              <w:rPr>
                <w:rFonts w:ascii="宋体" w:hAnsi="宋体" w:cs="宋体"/>
                <w:kern w:val="0"/>
                <w:sz w:val="22"/>
                <w:szCs w:val="22"/>
              </w:rPr>
            </w:pPr>
            <w:r>
              <w:rPr>
                <w:rFonts w:hint="eastAsia" w:ascii="宋体" w:hAnsi="宋体" w:cs="宋体"/>
                <w:kern w:val="0"/>
                <w:sz w:val="22"/>
                <w:szCs w:val="22"/>
              </w:rPr>
              <w:t>8.完善相关图件和附件。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南安市硕新五金加工厂南安康美分厂年表面处理钣金制品（电气机箱机柜、加工中心外罩、环保设备机架、五金配件等）4000套项目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C3360</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南安市硕新五金加工厂南安康美分厂</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福建省泉州市南安市康美镇雪峰侨场侨峰路2-19号</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2024/5/9</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泉南环评〔2024〕表97号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泉州市绿尚环保科技有限公司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刘玉</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泉州鑫路达机械科技有限公司年产车身零件5000套项目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C3670</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泉州鑫路达机械科技有限公司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南安市霞美镇光伏基地创造大道10号</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2024/5/9</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泉南环评〔2024〕表98号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福建省泉州清澈环保有限公司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轩雪丽</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68</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补充调查主要生产设备信息，论证冲床对周边环境振动影响，进一步完善防震降噪措施。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0"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南安市万宝龙精工石材有限公司年总产10万平方米大理石板材，10万平方米花岗岩板材，5万平方米异形石材工艺品项目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南安市万宝龙精工石材有限公司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南安市水头镇龙风村（水头滨海石材加工集中区）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2024/5/10</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泉南环评〔2024〕表99号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浙江辉志环保科技有限公司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王英明</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65</w:t>
            </w:r>
          </w:p>
        </w:tc>
        <w:tc>
          <w:tcPr>
            <w:tcW w:w="3972" w:type="dxa"/>
            <w:shd w:val="clear" w:color="auto" w:fill="auto"/>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1.补充核算设备与产能的匹配性。</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2.细化厂区现有生产废水处理设施情况（处理能力、池容、沉淀停留时间等），进一步分析核实扩建后生产废水依托现有工程废水处理设施的可行性。补充初期雨水收集范围、初期雨水量及处理情况。</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3.补充生活污水近期农田灌溉环境管理及台账管理要求，明确不小于贮存周期72立方米储液池的设施情况（位置、地上还是地下，池体还是罐体等形式）。</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4.补充高噪声源空间分布及位置、数量等声源数据及参数选择，核实噪声预测结果及厂界达标分析。</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5.补充完善废水沉淀石粉渣暂存场所设置情况，进一步强化暂存、运输环节的无组织粉尘防治措施。</w:t>
            </w:r>
          </w:p>
          <w:p>
            <w:pPr>
              <w:widowControl/>
              <w:jc w:val="left"/>
              <w:rPr>
                <w:rFonts w:ascii="宋体" w:hAnsi="宋体" w:cs="宋体"/>
                <w:kern w:val="0"/>
                <w:sz w:val="22"/>
                <w:szCs w:val="22"/>
              </w:rPr>
            </w:pPr>
            <w:r>
              <w:rPr>
                <w:rFonts w:hint="eastAsia" w:ascii="宋体" w:hAnsi="宋体" w:cs="宋体"/>
                <w:kern w:val="0"/>
                <w:sz w:val="22"/>
                <w:szCs w:val="22"/>
              </w:rPr>
              <w:t>6.补充与《南安市建筑饰面石材加工集中区项目准入条件》的符合性分析。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4"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立邦新型材料（福建）有限公司年增产单纯混合分装水性建筑基材2万吨项目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C2641</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立邦新型材料（福建）有限公司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南安市官桥镇西庄村下庄515号（泉州经济技术开发区官桥园区）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2024/5/11</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泉南环评〔2024〕表100号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福建省裕丰环保科技有限公司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蔡玉斌</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63</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1.项目坐标有偏差（同步核实排污口坐标）；《产业结构调整指导目录》前后不一致；完善项目概况信息。                                                                                                     2.项目应对扩建后的整体工程进行分析；完善项目扩建前后“三本帐”，补充原项目的整改项。                                                                                                 3.原辅料前后不一致；环境现状数据前后不一致，核实声功能区。                                                                                             4.粉尘产排量估算错误；核实腻子膏是否涉及有机废气及其对应的产排情况；核实扩建后废气的产排情况。                                                                                    5.复核噪声预测；固废有遗漏。                                                                          6.补充废水设施及管道的分区管控要求；识别环境风险物质，完善风险措施。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3"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南安天正石业有限公司年产大理石石板材20万平方米、花岗岩石板材20万平方米项目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南安天正石业有限公司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南安市水头镇仁福工业区（仁福石材加工集中区）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2024/5/13</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泉南环评〔2024〕表101号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深圳云思环境科技有限公司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战友</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3972" w:type="dxa"/>
            <w:shd w:val="clear" w:color="auto" w:fill="auto"/>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1.通过测绘鉴定的方法核实本项目与沈海高速公路用地外缘的距离，分析项目与《公路安全保护条例》高速公路用地外缘30m距离建设要求的符合性。</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2.项目排放VOCs，应补充项目选址、VOCs管控措施等方面与当前VOCs控制有关规范和要求的符合性分析。</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3.根据不饱和树脂胶的成分分析判别其是否属于高挥发性有机物，补充不饱和树脂等化学品原料的储运工程建设内容。</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4.核实废气排放标准，是否执行《合成树脂工业污染物排放标准》（GB31572-2015）？</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5.明确刷胶作业废气收集方式，明确收集效率达到80%的具体可行的收集措施（P34提出加强车间通风排气，保证车间空气质量）。</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6.核实说明将浇灌费用纳入环保投资；明确雨天不需浇灌的集水池容积，分析其是否满足雨天储水需求，未在图件中说明浇灌场地位置。</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7.污泥产生量未考虑湿法除尘量。</w:t>
            </w:r>
          </w:p>
          <w:p>
            <w:pPr>
              <w:widowControl/>
              <w:jc w:val="left"/>
              <w:rPr>
                <w:rFonts w:ascii="宋体" w:hAnsi="宋体" w:cs="宋体"/>
                <w:kern w:val="0"/>
                <w:sz w:val="22"/>
                <w:szCs w:val="22"/>
              </w:rPr>
            </w:pPr>
            <w:r>
              <w:rPr>
                <w:rFonts w:hint="eastAsia" w:ascii="宋体" w:hAnsi="宋体" w:cs="宋体"/>
                <w:kern w:val="0"/>
                <w:sz w:val="22"/>
                <w:szCs w:val="22"/>
              </w:rPr>
              <w:t>8.完善相关图件和附件。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春上（泉州）金属制品有限公司年加工钢构件5000吨项目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C3311/C3360</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春上（泉州）金属制品有限公司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南安市石井镇菊江村第一工业区9号</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2024/5/13</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泉南环评〔2024〕表102号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深圳市佳航环保科技有限公司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王近近</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1.核实项目选址与所在地规划符合性。                                                                                                   2.核实引用的环境质量现状数据时效性。                                                                                                                              3.P26 核实项目所在区域及声功能区要求。                                                                                                                                                             4.核实项目切割工艺，补充主要污染物核算、排放等相关内容。                                                                                                                                       5.严格无组织废气排放，规范排气筒设置要求。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福建泉州铭辉石材有限公司年产20万平方米工程板、2500立方米异形石板材项目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福建泉州铭辉石材有限公司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南安市水头镇仁福村山头139号（仁福石材加工集中区）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2024/5/14</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泉南环评〔2024〕表103号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福建省元竞环境科技有限公司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王成民</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65</w:t>
            </w:r>
          </w:p>
        </w:tc>
        <w:tc>
          <w:tcPr>
            <w:tcW w:w="3972" w:type="dxa"/>
            <w:shd w:val="clear" w:color="auto" w:fill="auto"/>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1.调查本项目与沈海高速公路、高速铁路用地外缘的距离，分析项目与《公路安全保护条例》、</w:t>
            </w:r>
            <w:r>
              <w:rPr>
                <w:rFonts w:hint="eastAsia" w:ascii="宋体" w:hAnsi="宋体" w:cs="宋体"/>
                <w:kern w:val="0"/>
                <w:sz w:val="22"/>
                <w:szCs w:val="22"/>
                <w:lang w:eastAsia="zh-CN"/>
              </w:rPr>
              <w:t>《铁路安全管理条例》</w:t>
            </w:r>
            <w:r>
              <w:rPr>
                <w:rFonts w:hint="eastAsia" w:ascii="宋体" w:hAnsi="宋体" w:cs="宋体"/>
                <w:kern w:val="0"/>
                <w:sz w:val="22"/>
                <w:szCs w:val="22"/>
              </w:rPr>
              <w:t xml:space="preserve">中有关铁路线路安全保护区、高速公路用地外缘30m距离建设要求的符合性。                 </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2.P14由废水产污系数计算出石材加工废水量，未计算出生产用水量，应补充用水量计算，并给出合理依据，完善水平衡。</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3.初期雨水集水池容积为43.82m3，未设计具体规格，且位于厂界外，应调整至本项目用地范围内，并分析初期雨水收集的可行性，确保符合《南安市建筑饰面石材加工集中区环境管理实施方案》要求。</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4.分析沉淀池容纳最大废水量与污泥量，明确池内污泥清运周期，提出沉淀池管理与废水事故排放的管控要求。</w:t>
            </w:r>
          </w:p>
          <w:p>
            <w:pPr>
              <w:widowControl/>
              <w:jc w:val="left"/>
              <w:rPr>
                <w:rFonts w:ascii="宋体" w:hAnsi="宋体" w:cs="宋体"/>
                <w:kern w:val="0"/>
                <w:sz w:val="22"/>
                <w:szCs w:val="22"/>
              </w:rPr>
            </w:pPr>
            <w:r>
              <w:rPr>
                <w:rFonts w:hint="eastAsia" w:ascii="宋体" w:hAnsi="宋体" w:cs="宋体"/>
                <w:kern w:val="0"/>
                <w:sz w:val="22"/>
                <w:szCs w:val="22"/>
              </w:rPr>
              <w:t>5.完善相关图件和附件。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国道G324线南安水头新营至厦门界段公路（福鼎山隧道）工程砂石料加工项目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C3039</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厦门市山冠矿山机械有限公司南安市分公司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福建省南安市水头镇后坑村</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2024/5/14</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泉南环评〔2024〕表104号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益琨（泉州）环保技术开发有限公司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庄炎</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63</w:t>
            </w:r>
          </w:p>
        </w:tc>
        <w:tc>
          <w:tcPr>
            <w:tcW w:w="3972" w:type="dxa"/>
            <w:shd w:val="clear" w:color="auto" w:fill="auto"/>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1.完善工程组成，明确原料堆场、成品堆放区设置情况（是否为露天设置）；补充生产废水处理回用清水罐相关内容（后续也有提到设置了清水罐）。</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2.核实机制砂生产用水量，洗砂用水量为1t机制砂：水0.2t，这个用水比例明显偏低。</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3.核实污泥经压滤机处理后的含水率，35%的含水率普通板框压滤机做不到。</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4.《南安市环境质量分析报告（2022年度）》，发布时间应为2023年3月。</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5.表4-2应为“喂料粉尘产生及排放情况一览表”。</w:t>
            </w:r>
          </w:p>
          <w:p>
            <w:pPr>
              <w:widowControl/>
              <w:jc w:val="left"/>
              <w:rPr>
                <w:rFonts w:ascii="宋体" w:hAnsi="宋体" w:cs="宋体"/>
                <w:kern w:val="0"/>
                <w:sz w:val="22"/>
                <w:szCs w:val="22"/>
              </w:rPr>
            </w:pPr>
            <w:r>
              <w:rPr>
                <w:rFonts w:hint="eastAsia" w:ascii="宋体" w:hAnsi="宋体" w:cs="宋体"/>
                <w:kern w:val="0"/>
                <w:sz w:val="22"/>
                <w:szCs w:val="22"/>
              </w:rPr>
              <w:t>6.补充生产废水沉淀污泥产生量及处置去向。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南安霞美荣佳塑胶工艺厂年产鞋扣5000万套项目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C2929</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南安霞美荣佳塑胶工艺厂</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南安市霞美镇霞美村霞光肆126号1楼（霞美工业区）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2024/5/14</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泉南环评〔2024〕表105号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深圳云思环境科技有限公司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战友</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67</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核实废气执行标准（前后表述不一致，进一步明确各类污染因子有组织与无组织排放要求），论证颗粒物有组织排放可行性。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5"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南安市福满堂雨具有限公司年产玻璃纤维伞架120万支、注塑玻璃纤维杆80万打、玻璃纤维杆420吨项目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C3062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南安市福满堂雨具有限公司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福建省泉州市南安市诗山镇社二村</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2024/5/14</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泉南环评〔2024〕表106号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泉州市正诺环保科技有限公司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陈元刚</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1.p2、p4表1-1 专项评价设置情况中对项目污水处理情况与后文不一致；p21明确污水纳入诗山镇报恩污水处理厂还是南安市诗山镇污水处理厂；补充分析生活污水农灌消纳可行性，并在地图上标出农灌区域。                                                                                                                            2.《产业结构调整指导目录（2024年本）》、《危险废物贮存污染控制标准》（GB 18597—2023）已制定，请在文本中更新相应标准；p9《建设项目环境影响评价分类管理名录（2021年版）》实施时间有误。                                                                                                                     3.p12出现了促进剂“过氧化二苯甲酰”，前后文工艺流程中均未提及，核实是否存在该原辅料；p14 表2-4项目主要生产设备一览表与发改备案证明中不一致，核实设备情况是否缺漏。                                                                                                                4.声环境应根据《南安市中心城区声环境功能区划分》进行界定，请核实适用的噪声排放标准；项目无20m排气筒，最高允许排放速率可不在排放标准中进行罗列。                                                                                                        5.新建涉vocs排放的工业项目必须入园，核实该项目是否在工业园区内？在总量控制指标中补充vocs总量调剂来源。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南安市合进石材工艺有限公司年总产花岗岩板材20万平方米，异形石板材10万平方米项目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南安市合进石材工艺有限公司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南安市水头镇龙风村托坂240号（水头仁福石材加工集中区）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2024/5/15</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泉南环评〔2024〕表107号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浙江辉志环保科技有限公司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王英明</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972" w:type="dxa"/>
            <w:shd w:val="clear" w:color="auto" w:fill="auto"/>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1.核实改建前环评登记表编号，P10中文字表述为“南环701号”，附件8中为“南环20701”。</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2.根据工程分析，改建后主要生产设备包括了改建前后两部分的设备，建议平面布置中应将已验收和改建工程设备明确标识出来。</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3.核实生活污水近期执行标准。</w:t>
            </w:r>
          </w:p>
          <w:p>
            <w:pPr>
              <w:widowControl/>
              <w:jc w:val="left"/>
              <w:rPr>
                <w:rFonts w:ascii="宋体" w:hAnsi="宋体" w:cs="宋体"/>
                <w:kern w:val="0"/>
                <w:sz w:val="22"/>
                <w:szCs w:val="22"/>
              </w:rPr>
            </w:pPr>
            <w:r>
              <w:rPr>
                <w:rFonts w:hint="eastAsia" w:ascii="宋体" w:hAnsi="宋体" w:cs="宋体"/>
                <w:kern w:val="0"/>
                <w:sz w:val="22"/>
                <w:szCs w:val="22"/>
              </w:rPr>
              <w:t>4.核实灌溉农作物种类，核实灌溉可行性分析。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南安恒达石材有限公司年产20万平方米花岗岩板材、10万平方米异形石板材项目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南安恒达石材有限公司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南安市水头镇仁福村溪南270-1号、270-6号（水头福山石材加工集中区）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2024/5/15</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泉南环评〔2024〕表108号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浙江辉志环保科技有限公司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王英明</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66</w:t>
            </w:r>
          </w:p>
        </w:tc>
        <w:tc>
          <w:tcPr>
            <w:tcW w:w="3972" w:type="dxa"/>
            <w:shd w:val="clear" w:color="auto" w:fill="auto"/>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1.“三线一单”符合性分析，应对照“空间布局约束、污染物排放管控、环境风险防控、资源开发效率要求”4个方面都进行分析，不能只分析“污染物排放管控”一个方面。</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2.P20，文字表述“不新增厂房建设，无施工内容”有误，设备安装等应属于施工内容，无厂房建设只能说是无土建施工，建议修改表述。</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3.核实生活污水近期执行标准。</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4.核实灌溉农作物种类，核实灌溉可行性分析。</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5.项目不涉及HJ/T169-2018中的附表B的风险物质，则无Q值存在，而不是Q＜1。</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6.P40，补充土壤及地下水污染防治措施，一般固废暂存区地面防渗措施等。</w:t>
            </w:r>
          </w:p>
          <w:p>
            <w:pPr>
              <w:widowControl/>
              <w:jc w:val="left"/>
              <w:rPr>
                <w:rFonts w:ascii="宋体" w:hAnsi="宋体" w:cs="宋体"/>
                <w:kern w:val="0"/>
                <w:sz w:val="22"/>
                <w:szCs w:val="22"/>
              </w:rPr>
            </w:pPr>
            <w:r>
              <w:rPr>
                <w:rFonts w:hint="eastAsia" w:ascii="宋体" w:hAnsi="宋体" w:cs="宋体"/>
                <w:kern w:val="0"/>
                <w:sz w:val="22"/>
                <w:szCs w:val="22"/>
              </w:rPr>
              <w:t>7.更新“表5-1  环境管理工作计划表”中表述，应为进行自主竣工环保验收，而不是“申请竣工环保验收”。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福建省泉州市标泰阀门有限公司年产阀门（闸阀、止回阀等）2000吨项目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C3443</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福建省泉州市标泰阀门有限公司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南安市仑苍镇大宇开发区82号</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2024/5/15</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泉南环评〔2024〕表109号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泉州市绿尚环保科技有限公司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刘玉</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67</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1.GB37822-2019标准排放限值错误，同步核实厂区内无组织的排放执行标准。                                                                                                      2.根据工艺及其简介球墨铸铁及不锈钢均全部下料切割，废气分析时则是部分不锈钢，前后不一致；建议整合排气筒，紧邻的排气筒会存在等效排气筒问题；卫生防护距离估算方法错误，GB/T13201-91已不适用。                                                                                                                                 3.建议进一步优化厂区布局，合理设置排气筒。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泉州市壹泽五金有限公司年产水暖配件（铜壳体、淋浴管）1880吨技改项目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C3352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泉州市壹泽五金有限公司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南安市仑苍镇辉煌路186号</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2024/5/16</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泉南环评〔2024〕表110号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泉州市绿尚环保科技有限公司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刘玉</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63</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1.补充原项目的验收情况、存在问题及整改项目；项目应按整体进行评价。                                                                                             2.补充水性漆的成分组成；GB37822-2019标准排放限值错误。                                                                                                           3.补充半密闭作业和全密闭作业，收集效率均为90%的合理性分析；按照“促进工艺排污尽量采用数量少的高架排气筒集中排放”的原则，整合排气筒；明确活性炭装置的级数；复核卫生防护距离估算及非正常排放情况。                                                                                                       4.复核噪声预测值；固废种类有遗漏；重新估算废活性炭产排量。                                                                                                            5.环境风险是否遗漏液化石油气的风险识别及防范措施。                                                                                         6.完善厂区布局。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1"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固美金属股份有限公司年产螺旋地桩30万支、太阳能支架15000吨、金属门窗1046吨、不锈钢挂钩600吨、不锈钢架子屏风300吨项目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C3514 C3311 C3312 C2130</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固美金属股份有限公司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南安市溪美街道莲塘村十中888号（南同公路坝头工业区）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2024/5/21</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泉南环评〔2024〕表111号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福建省朗洁环保科技有限公司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陆宗雷</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60</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1.建设地址前后不一致；补充与规划的符合性分析。                                                                                                              2.原辅料遗漏废水处理剂用量，核实水平衡。                                                      3.进一步论证生产废水循环回用及生活污水农灌的可行性，核实农田的种类，以确保对应标准的准确性。                                                                                                               4.复核声功能区划分等级及对应的噪声排放标准。                                                                                                                                          5.核实项目是否遗漏切割颗粒物的产排情况；补充收集效率80%的合理性及喷漆废气的收集方式，明确活性炭装置的级数；进一步补充完善无组织污染防治措施。                                                                                                  6.根据各个工艺产产污情况，核实固废的种类及产排依据；原料空桶应考虑破损情况的处置措施。                                                                                                           7.进一步完善厂区防渗防漏要求及风险防范措施。                                                                   8.完善厂区布局。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新柒佳石材（福建）实业有限公司年总产大理石石板材8万平方米、花岗岩石板材4万平方米、异形石材8万平方米、复合板5万平方米项目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C3032</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新柒佳石材（福建）实业有限公司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南安市石井镇院下工业区（滨海石材加工集中区）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2024/5/21</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泉南环评〔2024〕表112号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泉州环兴环保科技有限公司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林芳淼</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南安新望科技有限公司年产网格布800万平方米迁建项目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C3061</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南安新望科技有限公司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南安市水头镇仁福工业区（仁福村下埕1号）</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2024/5/22</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泉南环评〔2024〕表113号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喆枘鑫（厦门）环保科技有限公司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苏明礼</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972" w:type="dxa"/>
            <w:shd w:val="clear" w:color="auto" w:fill="auto"/>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 xml:space="preserve">1.根据项目环境影响、周边企业情况，完善项目周边环境相容性分析。                        </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 xml:space="preserve">2.细化迁建前后用水量增加的原因；结合迁建前的验收监测数据和定型胶的成分，分析定型胶是否属于含高挥发性有机物机物物质。                          </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 xml:space="preserve">3.迁建前监测数据和产污分析，本项目废气污染因子为NMHC和颗粒物等，完善大气环境现状调查（NMHC和TVOC质量标准不同）。                                             </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 xml:space="preserve">4.按本行业的排污许可证规范完善废气治理设施的可行性分析。                                       </w:t>
            </w:r>
          </w:p>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 xml:space="preserve">5.喷淋塔用水将吸收颗粒物，补充沉渣的固废属性识别，核实喷淋水全部循环的可行性。                                       </w:t>
            </w:r>
          </w:p>
          <w:p>
            <w:pPr>
              <w:widowControl/>
              <w:jc w:val="left"/>
              <w:rPr>
                <w:rFonts w:ascii="宋体" w:hAnsi="宋体" w:cs="宋体"/>
                <w:kern w:val="0"/>
                <w:sz w:val="22"/>
                <w:szCs w:val="22"/>
              </w:rPr>
            </w:pPr>
            <w:r>
              <w:rPr>
                <w:rFonts w:hint="eastAsia" w:ascii="宋体" w:hAnsi="宋体" w:cs="宋体"/>
                <w:kern w:val="0"/>
                <w:sz w:val="22"/>
                <w:szCs w:val="22"/>
              </w:rPr>
              <w:t xml:space="preserve">6.平面布置图应补充定性机台设备布设情况，明确废气处理设施的数量和排气筒位置，补充给排水管网图（含生活污水收集池位置）等，完善其他图件。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南安市霞美镇“三区两线”历史遗留废弃矿山生态修复项目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101</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南安市霞美镇人民政府</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南安市霞美镇张坑村、金山村</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2024/5/22</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泉南环评〔2024〕表114号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福建省朗洁环保科技有限公司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陆宗雷</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南安市溪美街道“三区两线”历史遗留废弃矿山生态修复工程</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101</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南安市溪美街道办事处</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南安市溪美街道莲塘村</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2024/5/23</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泉南环评〔2024〕表115号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泉州市绿尚环保科技有限公司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刘玉</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南安创迪科技有限公司年加工BOPP、OPP、PET、PVC涂覆膜800吨项目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C2921 C2319</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南安创迪科技有限公司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南安市码头镇新汤村金格198号（码金山轻工产业基地）</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2024/5/24</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泉南环评〔2024〕表116号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福建省朗洁环保科技有限公司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陆宗雷</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63</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1.核实行业类别，补充与《关于扎实推进塑料污染治理工作的通知》、《福建省发展和改革委员会 福建省生态环境厅关于印发福建省关于进一步加强塑料污染治理实施方案的通知》的符合性分析。                                                                2.补充敏感目标声现状情况。                                                                                                                   3.核实废气排放标准，遗漏无组织限值要求。                                                                                             4.进一步完善厂区密闭性，论证收集效率85%、处理效率50%的合理性；完善污染防治措施。                                                                                                      5.污水设施容积前后不一致；论证设施依托的可行性；农灌应就地就近。                                                                                        6.复核废活性炭的产排量；优化厂区布局。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泉州闽佳机械制造有限责任公司年产20万套工程机械配件产品项目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C3391/C3484</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泉州闽佳机械制造有限责任公司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南安市霞美镇埔当村（泉州（南安）高端装备智造园控规范围内）</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2024/5/29</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泉南环评〔2024〕表117号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益琨（泉州）环保技术开发有限公司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庄炎</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63</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1.文本错别字“消减”应为“削减”。                                                                                                 2.核实区域声环境功能控制要求，现状可满足2类标准，提出的执行标准是否符合相关功能目标要求。                                                                                                                    3.核实废气排放控制标准（优先执行行业标准）。                                                                                                         4.综合考虑污染因子，进一步优化整合各类排气筒，从严排放要求。                                                                                                  5.补充总量核算及来源相关资料。                                                                                 6.完善生活污水纳管路由分析。                                                                                      7.核实表4-22有关数据。                                                                                                    8.《建设项目环境影响评价信息公开机制方案》已废止更新。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5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2195"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福建中兰实业有限公司年增产阀门1万吨项目</w:t>
            </w:r>
          </w:p>
        </w:tc>
        <w:tc>
          <w:tcPr>
            <w:tcW w:w="933"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C3443</w:t>
            </w:r>
          </w:p>
        </w:tc>
        <w:tc>
          <w:tcPr>
            <w:tcW w:w="1417"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福建中兰实业有限公司</w:t>
            </w:r>
          </w:p>
        </w:tc>
        <w:tc>
          <w:tcPr>
            <w:tcW w:w="1276"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南安市东田镇兰溪村蓝溪226号（蓝溪工业区）</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2024/5/29</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泉南环评〔2024〕表118号</w:t>
            </w:r>
          </w:p>
        </w:tc>
        <w:tc>
          <w:tcPr>
            <w:tcW w:w="709" w:type="dxa"/>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报告表</w:t>
            </w:r>
          </w:p>
        </w:tc>
        <w:tc>
          <w:tcPr>
            <w:tcW w:w="1134"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福建省朗洁环保科技有限公司</w:t>
            </w:r>
          </w:p>
        </w:tc>
        <w:tc>
          <w:tcPr>
            <w:tcW w:w="992"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陆宗雷</w:t>
            </w:r>
          </w:p>
        </w:tc>
        <w:tc>
          <w:tcPr>
            <w:tcW w:w="730" w:type="dxa"/>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3972"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w:t>
            </w:r>
          </w:p>
        </w:tc>
      </w:tr>
    </w:tbl>
    <w:p>
      <w:pPr>
        <w:spacing w:line="240" w:lineRule="auto"/>
        <w:jc w:val="center"/>
        <w:rPr>
          <w:rFonts w:eastAsia="方正小标宋简体"/>
          <w:bCs/>
          <w:sz w:val="24"/>
          <w:szCs w:val="24"/>
        </w:rPr>
      </w:pPr>
    </w:p>
    <w:p>
      <w:pPr>
        <w:spacing w:line="600" w:lineRule="exact"/>
        <w:jc w:val="center"/>
        <w:rPr>
          <w:rFonts w:eastAsia="仿宋_GB2312"/>
          <w:b/>
          <w:sz w:val="36"/>
          <w:szCs w:val="36"/>
        </w:rPr>
      </w:pPr>
    </w:p>
    <w:p>
      <w:pPr>
        <w:spacing w:line="600" w:lineRule="exact"/>
        <w:rPr>
          <w:rFonts w:eastAsia="仿宋_GB2312"/>
          <w:b/>
          <w:sz w:val="36"/>
          <w:szCs w:val="36"/>
        </w:rPr>
        <w:sectPr>
          <w:headerReference r:id="rId3" w:type="default"/>
          <w:footerReference r:id="rId5" w:type="default"/>
          <w:headerReference r:id="rId4" w:type="even"/>
          <w:footerReference r:id="rId6" w:type="even"/>
          <w:pgSz w:w="16838" w:h="11906" w:orient="landscape"/>
          <w:pgMar w:top="1474" w:right="249" w:bottom="1474" w:left="238" w:header="851" w:footer="992" w:gutter="0"/>
          <w:pgNumType w:fmt="decimal"/>
          <w:cols w:space="720" w:num="1"/>
          <w:docGrid w:type="lines" w:linePitch="315" w:charSpace="0"/>
        </w:sect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600" w:lineRule="exact"/>
        <w:rPr>
          <w:rFonts w:eastAsia="仿宋_GB2312"/>
          <w:b/>
          <w:sz w:val="36"/>
          <w:szCs w:val="36"/>
        </w:rPr>
      </w:pPr>
    </w:p>
    <w:p>
      <w:pPr>
        <w:spacing w:line="500" w:lineRule="exact"/>
        <w:ind w:firstLine="210" w:firstLineChars="100"/>
      </w:pPr>
      <w:bookmarkStart w:id="0" w:name="_GoBack"/>
      <w:bookmarkEnd w:id="0"/>
    </w:p>
    <w:sectPr>
      <w:headerReference r:id="rId9" w:type="first"/>
      <w:headerReference r:id="rId7" w:type="default"/>
      <w:footerReference r:id="rId10" w:type="default"/>
      <w:headerReference r:id="rId8" w:type="even"/>
      <w:footerReference r:id="rId11" w:type="even"/>
      <w:type w:val="evenPage"/>
      <w:pgSz w:w="11906" w:h="16838"/>
      <w:pgMar w:top="249" w:right="1474" w:bottom="238" w:left="1474" w:header="851" w:footer="992" w:gutter="0"/>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07C63481-FE18-47E6-9A7E-644EB2DECCEB}"/>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3293B32D-4587-493D-991A-34AFC7264299}"/>
  </w:font>
  <w:font w:name="仿宋_GB2312">
    <w:panose1 w:val="02010609030101010101"/>
    <w:charset w:val="86"/>
    <w:family w:val="modern"/>
    <w:pitch w:val="default"/>
    <w:sig w:usb0="00000001" w:usb1="080E0000" w:usb2="00000000" w:usb3="00000000" w:csb0="00040000" w:csb1="00000000"/>
    <w:embedRegular r:id="rId3" w:fontKey="{DC719FF9-C537-49F0-9A26-66992D2EA827}"/>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28"/>
        <w:tab w:val="right" w:pos="16471"/>
      </w:tabs>
      <w:jc w:val="left"/>
    </w:pPr>
    <w:r>
      <w:rPr>
        <w:sz w:val="28"/>
      </w:rPr>
      <mc:AlternateContent>
        <mc:Choice Requires="wps">
          <w:drawing>
            <wp:anchor distT="0" distB="0" distL="114300" distR="114300" simplePos="0" relativeHeight="251663360" behindDoc="0" locked="0" layoutInCell="1" allowOverlap="1">
              <wp:simplePos x="0" y="0"/>
              <wp:positionH relativeFrom="margin">
                <wp:posOffset>9662795</wp:posOffset>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60.85pt;margin-top:0pt;height:144pt;width:144pt;mso-position-horizontal-relative:margin;mso-wrap-style:none;z-index:251663360;mso-width-relative:page;mso-height-relative:page;" filled="f" stroked="f" coordsize="21600,21600" o:gfxdata="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fvZiXUAAAACgEAAA8AAAAAAAAAAQAgAAAAIgAAAGRycy9kb3ducmV2LnhtbFBL&#10;AQIUABQAAAAIAIdO4kAIxY6ZMwIAAGMEAAAOAAAAAAAAAAEAIAAAACMBAABkcnMvZTJvRG9jLnht&#10;bFBLBQYAAAAABgAGAFkBAADI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2"/>
                    </w:pPr>
                  </w:p>
                </w:txbxContent>
              </v:textbox>
            </v:shape>
          </w:pict>
        </mc:Fallback>
      </mc:AlternateContent>
    </w:r>
    <w:r>
      <w:rPr>
        <w:rFonts w:hint="eastAsia"/>
      </w:rPr>
      <w:tab/>
    </w:r>
    <w:r>
      <w:rPr>
        <w:rFonts w:hint="eastAsia"/>
      </w:rPr>
      <w:tab/>
    </w:r>
    <w:r>
      <w:rPr>
        <w:rFonts w:hint="eastAsia"/>
      </w:rPr>
      <w:tab/>
    </w:r>
    <w:r>
      <w:rPr>
        <w:rFonts w:hint="eastAsia"/>
      </w:rPr>
      <w:tab/>
    </w:r>
  </w:p>
  <w:p>
    <w:pPr>
      <w:pStyle w:val="2"/>
      <w:ind w:right="1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rPr>
      <mc:AlternateContent>
        <mc:Choice Requires="wps">
          <w:drawing>
            <wp:anchor distT="0" distB="0" distL="114300" distR="114300" simplePos="0" relativeHeight="251664384" behindDoc="0" locked="0" layoutInCell="1" allowOverlap="1">
              <wp:simplePos x="0" y="0"/>
              <wp:positionH relativeFrom="margin">
                <wp:posOffset>121920</wp:posOffset>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9.6pt;margin-top:0pt;height:144pt;width:144pt;mso-position-horizontal-relative:margin;mso-wrap-style:none;z-index:251664384;mso-width-relative:page;mso-height-relative:page;" filled="f" stroked="f" coordsize="21600,21600" o:gfxdata="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bHndMAAAAHAQAADwAAAAAAAAABACAAAAAiAAAAZHJzL2Rvd25yZXYueG1sUEsB&#10;AhQAFAAAAAgAh07iQI87R3IzAgAAYwQAAA4AAAAAAAAAAQAgAAAAIgEAAGRycy9lMm9Eb2MueG1s&#10;UEsFBgAAAAAGAAYAWQEAAMc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pStyle w:val="2"/>
                      <w:jc w:val="cente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v:fill on="f" focussize="0,0"/>
              <v:stroke on="f"/>
              <v:imagedata o:title=""/>
              <o:lock v:ext="edit" aspectratio="f"/>
              <v:textbox inset="0mm,0mm,0mm,0mm" style="mso-fit-shape-to-text:t;">
                <w:txbxContent>
                  <w:p>
                    <w:pPr>
                      <w:pStyle w:val="2"/>
                      <w:jc w:val="center"/>
                    </w:pP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0"/>
      <w:jc w:val="left"/>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20</w:t>
                    </w:r>
                    <w:r>
                      <w:fldChar w:fldCharType="end"/>
                    </w:r>
                    <w: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912b80BAACpAwAADgAAAAAAAAABACAAAAAeAQAAZHJzL2Uy&#10;b0RvYy54bWxQSwUGAAAAAAYABgBZAQAAXQUAAAAA&#10;">
              <v:fill on="f" focussize="0,0"/>
              <v:stroke on="f"/>
              <v:imagedata o:title=""/>
              <o:lock v:ext="edit" aspectratio="f"/>
              <v:textbox inset="0mm,0mm,0mm,0mm" style="mso-fit-shape-to-text:t;">
                <w:txbxConten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TExZTlkODAyNWI1ZTk4OTAyZTM3M2U0MmQyM2EifQ=="/>
  </w:docVars>
  <w:rsids>
    <w:rsidRoot w:val="00FE2CC9"/>
    <w:rsid w:val="000163B3"/>
    <w:rsid w:val="000175C0"/>
    <w:rsid w:val="00030F22"/>
    <w:rsid w:val="00043FD1"/>
    <w:rsid w:val="0005264A"/>
    <w:rsid w:val="00052E87"/>
    <w:rsid w:val="000726E6"/>
    <w:rsid w:val="00075FD5"/>
    <w:rsid w:val="0008215C"/>
    <w:rsid w:val="00082B52"/>
    <w:rsid w:val="000856F4"/>
    <w:rsid w:val="00090328"/>
    <w:rsid w:val="0009154A"/>
    <w:rsid w:val="00092B9F"/>
    <w:rsid w:val="000A6092"/>
    <w:rsid w:val="000B1F88"/>
    <w:rsid w:val="000C0F27"/>
    <w:rsid w:val="000C182F"/>
    <w:rsid w:val="000D0FD3"/>
    <w:rsid w:val="000D3C5F"/>
    <w:rsid w:val="000D4DE3"/>
    <w:rsid w:val="000D7D3E"/>
    <w:rsid w:val="000E3B7E"/>
    <w:rsid w:val="000E5EA1"/>
    <w:rsid w:val="000F40D6"/>
    <w:rsid w:val="000F4D9B"/>
    <w:rsid w:val="001057C6"/>
    <w:rsid w:val="00110681"/>
    <w:rsid w:val="00110B66"/>
    <w:rsid w:val="00115C0A"/>
    <w:rsid w:val="001163AD"/>
    <w:rsid w:val="001204F4"/>
    <w:rsid w:val="001408FC"/>
    <w:rsid w:val="001646DC"/>
    <w:rsid w:val="00165AED"/>
    <w:rsid w:val="00165DC2"/>
    <w:rsid w:val="00183BAA"/>
    <w:rsid w:val="00187176"/>
    <w:rsid w:val="001A4DC1"/>
    <w:rsid w:val="001B4658"/>
    <w:rsid w:val="001F49F0"/>
    <w:rsid w:val="00202B57"/>
    <w:rsid w:val="00203C49"/>
    <w:rsid w:val="0020445B"/>
    <w:rsid w:val="00205C3F"/>
    <w:rsid w:val="002165C2"/>
    <w:rsid w:val="002203D8"/>
    <w:rsid w:val="00247051"/>
    <w:rsid w:val="00263491"/>
    <w:rsid w:val="00270A27"/>
    <w:rsid w:val="00273450"/>
    <w:rsid w:val="00280AF4"/>
    <w:rsid w:val="002945E9"/>
    <w:rsid w:val="0029534C"/>
    <w:rsid w:val="002957D0"/>
    <w:rsid w:val="00296ACF"/>
    <w:rsid w:val="00296EA4"/>
    <w:rsid w:val="002A4327"/>
    <w:rsid w:val="002B0204"/>
    <w:rsid w:val="002B254B"/>
    <w:rsid w:val="002B27B2"/>
    <w:rsid w:val="002D116A"/>
    <w:rsid w:val="002D336E"/>
    <w:rsid w:val="002D4924"/>
    <w:rsid w:val="002F1480"/>
    <w:rsid w:val="002F2C0F"/>
    <w:rsid w:val="00312119"/>
    <w:rsid w:val="003453A4"/>
    <w:rsid w:val="00346973"/>
    <w:rsid w:val="0035407F"/>
    <w:rsid w:val="003634B7"/>
    <w:rsid w:val="003642BD"/>
    <w:rsid w:val="00366B11"/>
    <w:rsid w:val="00367F9A"/>
    <w:rsid w:val="003779B3"/>
    <w:rsid w:val="00382E24"/>
    <w:rsid w:val="00386E47"/>
    <w:rsid w:val="00394DE0"/>
    <w:rsid w:val="003959C1"/>
    <w:rsid w:val="003B085D"/>
    <w:rsid w:val="003C4C43"/>
    <w:rsid w:val="003C5B01"/>
    <w:rsid w:val="003C6FA4"/>
    <w:rsid w:val="003D54CC"/>
    <w:rsid w:val="003D557C"/>
    <w:rsid w:val="003D6220"/>
    <w:rsid w:val="003E1999"/>
    <w:rsid w:val="003E5B04"/>
    <w:rsid w:val="00417F7F"/>
    <w:rsid w:val="00421DD9"/>
    <w:rsid w:val="00424BFC"/>
    <w:rsid w:val="004300E7"/>
    <w:rsid w:val="00460595"/>
    <w:rsid w:val="0046083F"/>
    <w:rsid w:val="004716D1"/>
    <w:rsid w:val="00473BE1"/>
    <w:rsid w:val="004748A8"/>
    <w:rsid w:val="004966AF"/>
    <w:rsid w:val="004B62DC"/>
    <w:rsid w:val="004D686C"/>
    <w:rsid w:val="004E512C"/>
    <w:rsid w:val="004E5C44"/>
    <w:rsid w:val="004E5DC6"/>
    <w:rsid w:val="004E64D6"/>
    <w:rsid w:val="004E66B7"/>
    <w:rsid w:val="004F375B"/>
    <w:rsid w:val="00502CF9"/>
    <w:rsid w:val="00503804"/>
    <w:rsid w:val="00504266"/>
    <w:rsid w:val="005075DD"/>
    <w:rsid w:val="005177DA"/>
    <w:rsid w:val="00521120"/>
    <w:rsid w:val="005242AA"/>
    <w:rsid w:val="00524C8C"/>
    <w:rsid w:val="00526360"/>
    <w:rsid w:val="00531C78"/>
    <w:rsid w:val="00537F71"/>
    <w:rsid w:val="00542C62"/>
    <w:rsid w:val="005435CD"/>
    <w:rsid w:val="00567F38"/>
    <w:rsid w:val="00593818"/>
    <w:rsid w:val="005C3C2A"/>
    <w:rsid w:val="005F00A0"/>
    <w:rsid w:val="005F638E"/>
    <w:rsid w:val="00600E2F"/>
    <w:rsid w:val="006019CF"/>
    <w:rsid w:val="00611452"/>
    <w:rsid w:val="0061179E"/>
    <w:rsid w:val="00621651"/>
    <w:rsid w:val="00634D02"/>
    <w:rsid w:val="00637FDC"/>
    <w:rsid w:val="00640D7B"/>
    <w:rsid w:val="00651E2D"/>
    <w:rsid w:val="00651EE9"/>
    <w:rsid w:val="00652088"/>
    <w:rsid w:val="00660FEA"/>
    <w:rsid w:val="006A3A8F"/>
    <w:rsid w:val="006B106F"/>
    <w:rsid w:val="006B3DA0"/>
    <w:rsid w:val="006C312A"/>
    <w:rsid w:val="006D4289"/>
    <w:rsid w:val="006D5723"/>
    <w:rsid w:val="006E72C2"/>
    <w:rsid w:val="006F12CC"/>
    <w:rsid w:val="00726BD2"/>
    <w:rsid w:val="00754F9B"/>
    <w:rsid w:val="00772132"/>
    <w:rsid w:val="00780679"/>
    <w:rsid w:val="0078321C"/>
    <w:rsid w:val="00784DA3"/>
    <w:rsid w:val="0079020A"/>
    <w:rsid w:val="00796347"/>
    <w:rsid w:val="00796BF4"/>
    <w:rsid w:val="007A6640"/>
    <w:rsid w:val="007B4997"/>
    <w:rsid w:val="007D0BEA"/>
    <w:rsid w:val="007D21CA"/>
    <w:rsid w:val="007E0DF8"/>
    <w:rsid w:val="007F0DE7"/>
    <w:rsid w:val="007F5620"/>
    <w:rsid w:val="00815CDB"/>
    <w:rsid w:val="0081620F"/>
    <w:rsid w:val="0081747F"/>
    <w:rsid w:val="00820A96"/>
    <w:rsid w:val="00820BA4"/>
    <w:rsid w:val="00822F0C"/>
    <w:rsid w:val="008252D3"/>
    <w:rsid w:val="0084565B"/>
    <w:rsid w:val="0085452A"/>
    <w:rsid w:val="00860BBF"/>
    <w:rsid w:val="00860CEF"/>
    <w:rsid w:val="008729AE"/>
    <w:rsid w:val="00882EAB"/>
    <w:rsid w:val="0089644E"/>
    <w:rsid w:val="008A7550"/>
    <w:rsid w:val="008B2C94"/>
    <w:rsid w:val="008C23CF"/>
    <w:rsid w:val="008C3D57"/>
    <w:rsid w:val="008D4E25"/>
    <w:rsid w:val="008F7F4A"/>
    <w:rsid w:val="009015FC"/>
    <w:rsid w:val="0090483A"/>
    <w:rsid w:val="00904D06"/>
    <w:rsid w:val="009301B7"/>
    <w:rsid w:val="00930A8C"/>
    <w:rsid w:val="00943FDF"/>
    <w:rsid w:val="0095410A"/>
    <w:rsid w:val="00962496"/>
    <w:rsid w:val="00965A04"/>
    <w:rsid w:val="00967BC8"/>
    <w:rsid w:val="009912F8"/>
    <w:rsid w:val="00992302"/>
    <w:rsid w:val="0099600C"/>
    <w:rsid w:val="00997264"/>
    <w:rsid w:val="00997C41"/>
    <w:rsid w:val="009A0F7A"/>
    <w:rsid w:val="009A3D8B"/>
    <w:rsid w:val="009B0B7B"/>
    <w:rsid w:val="009B36B0"/>
    <w:rsid w:val="009D0A99"/>
    <w:rsid w:val="009D7442"/>
    <w:rsid w:val="009E7037"/>
    <w:rsid w:val="009F1A4A"/>
    <w:rsid w:val="009F62A0"/>
    <w:rsid w:val="009F74F6"/>
    <w:rsid w:val="00A03C0F"/>
    <w:rsid w:val="00A051D7"/>
    <w:rsid w:val="00A14BFB"/>
    <w:rsid w:val="00A15E57"/>
    <w:rsid w:val="00A43041"/>
    <w:rsid w:val="00A51762"/>
    <w:rsid w:val="00A92FFC"/>
    <w:rsid w:val="00AB1D7E"/>
    <w:rsid w:val="00AB2E2E"/>
    <w:rsid w:val="00AC76D3"/>
    <w:rsid w:val="00AE0646"/>
    <w:rsid w:val="00AF3182"/>
    <w:rsid w:val="00B166C9"/>
    <w:rsid w:val="00B30FA4"/>
    <w:rsid w:val="00B33B3E"/>
    <w:rsid w:val="00B371E9"/>
    <w:rsid w:val="00B43DDF"/>
    <w:rsid w:val="00B51166"/>
    <w:rsid w:val="00B51548"/>
    <w:rsid w:val="00B64632"/>
    <w:rsid w:val="00B647F8"/>
    <w:rsid w:val="00B74EEC"/>
    <w:rsid w:val="00B93CB7"/>
    <w:rsid w:val="00BA243F"/>
    <w:rsid w:val="00BA6A33"/>
    <w:rsid w:val="00BB071C"/>
    <w:rsid w:val="00BE1D69"/>
    <w:rsid w:val="00BE5098"/>
    <w:rsid w:val="00BE5531"/>
    <w:rsid w:val="00BF0EEE"/>
    <w:rsid w:val="00C27B8B"/>
    <w:rsid w:val="00C41426"/>
    <w:rsid w:val="00C6097B"/>
    <w:rsid w:val="00C61387"/>
    <w:rsid w:val="00C73919"/>
    <w:rsid w:val="00C81A8E"/>
    <w:rsid w:val="00C81B8F"/>
    <w:rsid w:val="00C86AD4"/>
    <w:rsid w:val="00CB206E"/>
    <w:rsid w:val="00CC2EFE"/>
    <w:rsid w:val="00D0562C"/>
    <w:rsid w:val="00D106C6"/>
    <w:rsid w:val="00D16F24"/>
    <w:rsid w:val="00D21207"/>
    <w:rsid w:val="00D479D9"/>
    <w:rsid w:val="00D53CF8"/>
    <w:rsid w:val="00D56758"/>
    <w:rsid w:val="00D62B0C"/>
    <w:rsid w:val="00D64F69"/>
    <w:rsid w:val="00D75B5C"/>
    <w:rsid w:val="00D82E48"/>
    <w:rsid w:val="00DA0DD3"/>
    <w:rsid w:val="00DA2CF0"/>
    <w:rsid w:val="00DB65D8"/>
    <w:rsid w:val="00DC12A3"/>
    <w:rsid w:val="00DE4357"/>
    <w:rsid w:val="00E23585"/>
    <w:rsid w:val="00E25B70"/>
    <w:rsid w:val="00E3638D"/>
    <w:rsid w:val="00E40C68"/>
    <w:rsid w:val="00E651D1"/>
    <w:rsid w:val="00E778C3"/>
    <w:rsid w:val="00E816BB"/>
    <w:rsid w:val="00E841B3"/>
    <w:rsid w:val="00E873F1"/>
    <w:rsid w:val="00E87FC3"/>
    <w:rsid w:val="00E903E8"/>
    <w:rsid w:val="00E91F3A"/>
    <w:rsid w:val="00EA0C03"/>
    <w:rsid w:val="00EB6CE5"/>
    <w:rsid w:val="00EE141D"/>
    <w:rsid w:val="00F04A10"/>
    <w:rsid w:val="00F36282"/>
    <w:rsid w:val="00F43BA6"/>
    <w:rsid w:val="00F5253C"/>
    <w:rsid w:val="00F57B4D"/>
    <w:rsid w:val="00F57C71"/>
    <w:rsid w:val="00F60E98"/>
    <w:rsid w:val="00F6346D"/>
    <w:rsid w:val="00F65EE8"/>
    <w:rsid w:val="00F66ACA"/>
    <w:rsid w:val="00F706FA"/>
    <w:rsid w:val="00F7375E"/>
    <w:rsid w:val="00F75B84"/>
    <w:rsid w:val="00F7656F"/>
    <w:rsid w:val="00F83D6A"/>
    <w:rsid w:val="00F93903"/>
    <w:rsid w:val="00FA6B7D"/>
    <w:rsid w:val="00FB0361"/>
    <w:rsid w:val="00FB6DAA"/>
    <w:rsid w:val="00FE1285"/>
    <w:rsid w:val="00FE2CC9"/>
    <w:rsid w:val="00FE773B"/>
    <w:rsid w:val="00FF0B06"/>
    <w:rsid w:val="00FF41FE"/>
    <w:rsid w:val="00FF79C7"/>
    <w:rsid w:val="013A6BC4"/>
    <w:rsid w:val="11A544DC"/>
    <w:rsid w:val="14000BA8"/>
    <w:rsid w:val="21577120"/>
    <w:rsid w:val="23030715"/>
    <w:rsid w:val="24D406FB"/>
    <w:rsid w:val="2C895BD4"/>
    <w:rsid w:val="2E4C5B33"/>
    <w:rsid w:val="3BFA60D7"/>
    <w:rsid w:val="3FC419CD"/>
    <w:rsid w:val="3FD041D6"/>
    <w:rsid w:val="41F613C0"/>
    <w:rsid w:val="487E245C"/>
    <w:rsid w:val="48F9109F"/>
    <w:rsid w:val="49A210B4"/>
    <w:rsid w:val="4C14566A"/>
    <w:rsid w:val="5C5D6E1A"/>
    <w:rsid w:val="5CD915CA"/>
    <w:rsid w:val="618D5C6B"/>
    <w:rsid w:val="6B594E10"/>
    <w:rsid w:val="6BE35E98"/>
    <w:rsid w:val="71DA42DA"/>
    <w:rsid w:val="794A1FE2"/>
    <w:rsid w:val="7E01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right"/>
    </w:pPr>
    <w:rPr>
      <w:rFonts w:ascii="宋体" w:hAnsi="宋体"/>
      <w:sz w:val="28"/>
      <w:szCs w:val="2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vertOverflow="overflow" horzOverflow="overflow" vert="horz" wrap="none" lIns="0" tIns="0" rIns="0" bIns="0" numCol="1" spcCol="0" rtlCol="0" fromWordArt="0" anchor="t" anchorCtr="0" forceAA="0" upright="0" compatLnSpc="1">
        <a:sp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8642</Words>
  <Characters>9644</Characters>
  <Lines>70</Lines>
  <Paragraphs>19</Paragraphs>
  <TotalTime>33</TotalTime>
  <ScaleCrop>false</ScaleCrop>
  <LinksUpToDate>false</LinksUpToDate>
  <CharactersWithSpaces>14242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2022-12-16T01:13:00Z</dcterms:created>
  <dc:creator>Administrator</dc:creator>
  <cp:lastModifiedBy>夜蓝</cp:lastModifiedBy>
  <cp:lastPrinted>2024-04-29T03:12:00Z</cp:lastPrinted>
  <dcterms:modified xsi:type="dcterms:W3CDTF">2024-07-01T07:22:16Z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0AE5D66D3C764D29A9D685A999F716EF_13</vt:lpwstr>
  </property>
</Properties>
</file>