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486BF">
      <w:pPr>
        <w:pStyle w:val="3"/>
        <w:keepNext w:val="0"/>
        <w:keepLines w:val="0"/>
        <w:widowControl/>
        <w:suppressLineNumbers w:val="0"/>
        <w:spacing w:before="0" w:beforeAutospacing="0" w:after="0" w:afterAutospacing="0" w:line="578" w:lineRule="exact"/>
        <w:ind w:right="0"/>
        <w:jc w:val="both"/>
        <w:rPr>
          <w:rFonts w:hint="eastAsia" w:ascii="黑体" w:hAnsi="黑体" w:eastAsia="黑体" w:cs="黑体"/>
          <w:b w:val="0"/>
          <w:bCs w:val="0"/>
          <w:i w:val="0"/>
          <w:iCs w:val="0"/>
          <w:color w:val="000000"/>
          <w:spacing w:val="0"/>
          <w:w w:val="100"/>
          <w:sz w:val="32"/>
          <w:szCs w:val="32"/>
          <w:vertAlign w:val="baseline"/>
          <w:lang w:val="en-US" w:eastAsia="zh-CN"/>
        </w:rPr>
      </w:pPr>
      <w:r>
        <w:rPr>
          <w:rFonts w:hint="eastAsia" w:ascii="黑体" w:hAnsi="黑体" w:eastAsia="黑体" w:cs="黑体"/>
          <w:b w:val="0"/>
          <w:bCs w:val="0"/>
          <w:i w:val="0"/>
          <w:iCs w:val="0"/>
          <w:color w:val="000000"/>
          <w:spacing w:val="0"/>
          <w:w w:val="100"/>
          <w:sz w:val="32"/>
          <w:szCs w:val="32"/>
          <w:vertAlign w:val="baseline"/>
          <w:lang w:val="en-US" w:eastAsia="zh-CN"/>
        </w:rPr>
        <w:t>附件4</w:t>
      </w:r>
    </w:p>
    <w:p w14:paraId="03FA3175">
      <w:pPr>
        <w:pStyle w:val="3"/>
        <w:keepNext w:val="0"/>
        <w:keepLines w:val="0"/>
        <w:widowControl/>
        <w:suppressLineNumbers w:val="0"/>
        <w:spacing w:before="0" w:beforeAutospacing="0" w:after="0" w:afterAutospacing="0" w:line="578" w:lineRule="exact"/>
        <w:ind w:right="0"/>
        <w:jc w:val="center"/>
        <w:rPr>
          <w:rFonts w:hint="eastAsia" w:ascii="方正小标宋简体" w:hAnsi="方正小标宋简体" w:eastAsia="方正小标宋简体" w:cs="方正小标宋简体"/>
          <w:b w:val="0"/>
          <w:bCs w:val="0"/>
          <w:i w:val="0"/>
          <w:iCs w:val="0"/>
          <w:color w:val="000000"/>
          <w:spacing w:val="0"/>
          <w:w w:val="100"/>
          <w:sz w:val="44"/>
          <w:szCs w:val="44"/>
          <w:vertAlign w:val="baseline"/>
          <w:lang w:val="en-US" w:eastAsia="zh-CN"/>
        </w:rPr>
      </w:pPr>
    </w:p>
    <w:p w14:paraId="02694A7A">
      <w:pPr>
        <w:pStyle w:val="3"/>
        <w:keepNext w:val="0"/>
        <w:keepLines w:val="0"/>
        <w:widowControl/>
        <w:suppressLineNumbers w:val="0"/>
        <w:spacing w:before="0" w:beforeAutospacing="0" w:after="0" w:afterAutospacing="0" w:line="578" w:lineRule="exact"/>
        <w:ind w:right="0"/>
        <w:jc w:val="center"/>
        <w:rPr>
          <w:rFonts w:hint="eastAsia" w:ascii="方正小标宋简体" w:hAnsi="方正小标宋简体" w:eastAsia="方正小标宋简体" w:cs="方正小标宋简体"/>
          <w:b w:val="0"/>
          <w:bCs w:val="0"/>
          <w:i w:val="0"/>
          <w:iCs w:val="0"/>
          <w:color w:val="000000"/>
          <w:spacing w:val="0"/>
          <w:w w:val="100"/>
          <w:sz w:val="44"/>
          <w:szCs w:val="44"/>
          <w:shd w:val="clear" w:fill="FFFFFF"/>
          <w:vertAlign w:val="baseline"/>
        </w:rPr>
      </w:pPr>
      <w:r>
        <w:rPr>
          <w:rFonts w:hint="eastAsia" w:ascii="方正小标宋简体" w:hAnsi="方正小标宋简体" w:eastAsia="方正小标宋简体" w:cs="方正小标宋简体"/>
          <w:b w:val="0"/>
          <w:bCs w:val="0"/>
          <w:i w:val="0"/>
          <w:iCs w:val="0"/>
          <w:color w:val="000000"/>
          <w:spacing w:val="0"/>
          <w:w w:val="100"/>
          <w:sz w:val="44"/>
          <w:szCs w:val="44"/>
          <w:vertAlign w:val="baseline"/>
          <w:lang w:val="en-US" w:eastAsia="zh-CN"/>
        </w:rPr>
        <w:t>2025</w:t>
      </w:r>
      <w:r>
        <w:rPr>
          <w:rFonts w:hint="eastAsia" w:ascii="方正小标宋简体" w:hAnsi="方正小标宋简体" w:eastAsia="方正小标宋简体" w:cs="方正小标宋简体"/>
          <w:b w:val="0"/>
          <w:bCs w:val="0"/>
          <w:i w:val="0"/>
          <w:iCs w:val="0"/>
          <w:color w:val="000000"/>
          <w:spacing w:val="0"/>
          <w:w w:val="100"/>
          <w:sz w:val="44"/>
          <w:szCs w:val="44"/>
          <w:vertAlign w:val="baseline"/>
        </w:rPr>
        <w:t>年</w:t>
      </w:r>
      <w:r>
        <w:rPr>
          <w:rFonts w:hint="eastAsia" w:ascii="方正小标宋简体" w:hAnsi="方正小标宋简体" w:eastAsia="方正小标宋简体" w:cs="方正小标宋简体"/>
          <w:b w:val="0"/>
          <w:bCs w:val="0"/>
          <w:i w:val="0"/>
          <w:iCs w:val="0"/>
          <w:color w:val="000000"/>
          <w:spacing w:val="0"/>
          <w:w w:val="100"/>
          <w:sz w:val="44"/>
          <w:szCs w:val="44"/>
          <w:vertAlign w:val="baseline"/>
          <w:lang w:eastAsia="zh-CN"/>
        </w:rPr>
        <w:t>三</w:t>
      </w:r>
      <w:r>
        <w:rPr>
          <w:rFonts w:hint="eastAsia" w:ascii="方正小标宋简体" w:hAnsi="方正小标宋简体" w:eastAsia="方正小标宋简体" w:cs="方正小标宋简体"/>
          <w:b w:val="0"/>
          <w:bCs w:val="0"/>
          <w:i w:val="0"/>
          <w:iCs w:val="0"/>
          <w:color w:val="000000"/>
          <w:spacing w:val="0"/>
          <w:w w:val="100"/>
          <w:sz w:val="44"/>
          <w:szCs w:val="44"/>
          <w:vertAlign w:val="baseline"/>
        </w:rPr>
        <w:t>季度</w:t>
      </w:r>
      <w:r>
        <w:rPr>
          <w:rFonts w:hint="eastAsia" w:ascii="方正小标宋简体" w:hAnsi="方正小标宋简体" w:eastAsia="方正小标宋简体" w:cs="方正小标宋简体"/>
          <w:b w:val="0"/>
          <w:bCs w:val="0"/>
          <w:i w:val="0"/>
          <w:iCs w:val="0"/>
          <w:color w:val="000000"/>
          <w:spacing w:val="0"/>
          <w:w w:val="100"/>
          <w:sz w:val="44"/>
          <w:szCs w:val="44"/>
          <w:shd w:val="clear" w:fill="FFFFFF"/>
          <w:vertAlign w:val="baseline"/>
          <w:lang w:val="en-US" w:eastAsia="zh-CN"/>
        </w:rPr>
        <w:t>泉州市南安市</w:t>
      </w:r>
      <w:r>
        <w:rPr>
          <w:rFonts w:hint="eastAsia" w:ascii="方正小标宋简体" w:hAnsi="方正小标宋简体" w:eastAsia="方正小标宋简体" w:cs="方正小标宋简体"/>
          <w:b w:val="0"/>
          <w:bCs w:val="0"/>
          <w:i w:val="0"/>
          <w:iCs w:val="0"/>
          <w:color w:val="000000"/>
          <w:spacing w:val="0"/>
          <w:w w:val="100"/>
          <w:sz w:val="44"/>
          <w:szCs w:val="44"/>
          <w:shd w:val="clear" w:fill="FFFFFF"/>
          <w:vertAlign w:val="baseline"/>
        </w:rPr>
        <w:t>分布式光伏接入电网承载力及提升措施评估报告</w:t>
      </w:r>
    </w:p>
    <w:p w14:paraId="1C5E47CC">
      <w:pPr>
        <w:pStyle w:val="3"/>
        <w:keepNext w:val="0"/>
        <w:keepLines w:val="0"/>
        <w:widowControl/>
        <w:suppressLineNumbers w:val="0"/>
        <w:spacing w:before="0" w:beforeAutospacing="0" w:after="0" w:afterAutospacing="0" w:line="578" w:lineRule="exact"/>
        <w:ind w:right="0"/>
        <w:jc w:val="center"/>
        <w:rPr>
          <w:rFonts w:hint="eastAsia" w:ascii="方正小标宋简体" w:hAnsi="方正小标宋简体" w:eastAsia="方正小标宋简体" w:cs="方正小标宋简体"/>
          <w:b w:val="0"/>
          <w:bCs w:val="0"/>
          <w:i w:val="0"/>
          <w:iCs w:val="0"/>
          <w:color w:val="000000"/>
          <w:spacing w:val="0"/>
          <w:w w:val="100"/>
          <w:sz w:val="44"/>
          <w:szCs w:val="44"/>
          <w:shd w:val="clear" w:fill="FFFFFF"/>
          <w:vertAlign w:val="baseline"/>
        </w:rPr>
      </w:pPr>
    </w:p>
    <w:p w14:paraId="358E7F8C">
      <w:pPr>
        <w:pStyle w:val="3"/>
        <w:keepNext w:val="0"/>
        <w:keepLines w:val="0"/>
        <w:widowControl/>
        <w:suppressLineNumbers w:val="0"/>
        <w:spacing w:before="0" w:beforeAutospacing="0" w:after="0" w:afterAutospacing="0" w:line="578" w:lineRule="exact"/>
        <w:ind w:left="0" w:right="0" w:firstLine="420"/>
        <w:jc w:val="both"/>
        <w:rPr>
          <w:rFonts w:hint="eastAsia" w:ascii="黑体" w:hAnsi="黑体" w:eastAsia="黑体" w:cs="黑体"/>
          <w:sz w:val="32"/>
          <w:szCs w:val="32"/>
        </w:rPr>
      </w:pPr>
      <w:r>
        <w:rPr>
          <w:rFonts w:hint="eastAsia" w:ascii="黑体" w:hAnsi="黑体" w:eastAsia="黑体" w:cs="黑体"/>
          <w:b w:val="0"/>
          <w:bCs w:val="0"/>
          <w:i w:val="0"/>
          <w:iCs w:val="0"/>
          <w:color w:val="000000"/>
          <w:spacing w:val="0"/>
          <w:w w:val="100"/>
          <w:sz w:val="32"/>
          <w:szCs w:val="32"/>
          <w:vertAlign w:val="baseline"/>
          <w:lang w:val="en-US"/>
        </w:rPr>
        <w:t> </w:t>
      </w:r>
      <w:r>
        <w:rPr>
          <w:rFonts w:hint="eastAsia" w:ascii="黑体" w:hAnsi="黑体" w:eastAsia="黑体" w:cs="黑体"/>
          <w:b w:val="0"/>
          <w:bCs w:val="0"/>
          <w:i w:val="0"/>
          <w:iCs w:val="0"/>
          <w:color w:val="000000"/>
          <w:spacing w:val="0"/>
          <w:w w:val="100"/>
          <w:sz w:val="32"/>
          <w:szCs w:val="32"/>
          <w:vertAlign w:val="baseline"/>
          <w:lang w:val="en-US" w:eastAsia="zh-CN"/>
        </w:rPr>
        <w:t>一、</w:t>
      </w:r>
      <w:r>
        <w:rPr>
          <w:rFonts w:hint="eastAsia" w:ascii="黑体" w:hAnsi="黑体" w:eastAsia="黑体" w:cs="黑体"/>
          <w:b w:val="0"/>
          <w:bCs w:val="0"/>
          <w:i w:val="0"/>
          <w:iCs w:val="0"/>
          <w:color w:val="000000"/>
          <w:spacing w:val="0"/>
          <w:w w:val="100"/>
          <w:sz w:val="32"/>
          <w:szCs w:val="32"/>
          <w:vertAlign w:val="baseline"/>
        </w:rPr>
        <w:t>分布式光伏接入电网承载力情况</w:t>
      </w:r>
    </w:p>
    <w:p w14:paraId="06C8DA76">
      <w:pPr>
        <w:pStyle w:val="3"/>
        <w:keepNext w:val="0"/>
        <w:keepLines w:val="0"/>
        <w:widowControl/>
        <w:numPr>
          <w:ilvl w:val="0"/>
          <w:numId w:val="0"/>
        </w:numPr>
        <w:suppressLineNumbers w:val="0"/>
        <w:spacing w:before="0" w:beforeAutospacing="0" w:after="0" w:afterAutospacing="0" w:line="578" w:lineRule="exact"/>
        <w:ind w:left="838" w:leftChars="0" w:right="0" w:right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spacing w:val="0"/>
          <w:w w:val="100"/>
          <w:sz w:val="32"/>
          <w:szCs w:val="32"/>
          <w:vertAlign w:val="baseline"/>
          <w:lang w:val="en-US" w:eastAsia="zh-CN"/>
        </w:rPr>
        <w:t>1.</w:t>
      </w:r>
      <w:r>
        <w:rPr>
          <w:rFonts w:hint="eastAsia" w:ascii="仿宋_GB2312" w:hAnsi="仿宋_GB2312" w:eastAsia="仿宋_GB2312" w:cs="仿宋_GB2312"/>
          <w:b/>
          <w:bCs/>
          <w:i w:val="0"/>
          <w:iCs w:val="0"/>
          <w:color w:val="000000"/>
          <w:spacing w:val="0"/>
          <w:w w:val="100"/>
          <w:sz w:val="32"/>
          <w:szCs w:val="32"/>
          <w:vertAlign w:val="baseline"/>
        </w:rPr>
        <w:t>区域整体情况</w:t>
      </w:r>
    </w:p>
    <w:p w14:paraId="1AD72B8D">
      <w:pPr>
        <w:pStyle w:val="3"/>
        <w:keepNext w:val="0"/>
        <w:keepLines w:val="0"/>
        <w:widowControl/>
        <w:suppressLineNumbers w:val="0"/>
        <w:spacing w:before="0" w:beforeAutospacing="0" w:after="0" w:afterAutospacing="0" w:line="578" w:lineRule="exact"/>
        <w:ind w:left="0" w:right="0" w:firstLine="419"/>
        <w:jc w:val="both"/>
        <w:rPr>
          <w:rFonts w:hint="eastAsia" w:ascii="仿宋_GB2312" w:hAnsi="仿宋_GB2312" w:eastAsia="仿宋_GB2312" w:cs="仿宋_GB2312"/>
          <w:b w:val="0"/>
          <w:bCs w:val="0"/>
          <w:i w:val="0"/>
          <w:iCs w:val="0"/>
          <w:color w:val="000000"/>
          <w:spacing w:val="0"/>
          <w:w w:val="100"/>
          <w:sz w:val="32"/>
          <w:szCs w:val="32"/>
          <w:highlight w:val="yellow"/>
          <w:vertAlign w:val="baseline"/>
          <w:lang w:val="en-US" w:eastAsia="zh-CN"/>
        </w:rPr>
      </w:pPr>
      <w:r>
        <w:rPr>
          <w:rFonts w:hint="eastAsia" w:ascii="仿宋_GB2312" w:hAnsi="仿宋_GB2312" w:eastAsia="仿宋_GB2312" w:cs="仿宋_GB2312"/>
          <w:b w:val="0"/>
          <w:bCs w:val="0"/>
          <w:i w:val="0"/>
          <w:iCs w:val="0"/>
          <w:color w:val="000000"/>
          <w:spacing w:val="0"/>
          <w:w w:val="100"/>
          <w:sz w:val="32"/>
          <w:szCs w:val="32"/>
          <w:vertAlign w:val="baseline"/>
        </w:rPr>
        <w:t>截至</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2025</w:t>
      </w:r>
      <w:r>
        <w:rPr>
          <w:rFonts w:hint="eastAsia" w:ascii="仿宋_GB2312" w:hAnsi="仿宋_GB2312" w:eastAsia="仿宋_GB2312" w:cs="仿宋_GB2312"/>
          <w:b w:val="0"/>
          <w:bCs w:val="0"/>
          <w:i w:val="0"/>
          <w:iCs w:val="0"/>
          <w:color w:val="000000"/>
          <w:spacing w:val="0"/>
          <w:w w:val="100"/>
          <w:sz w:val="32"/>
          <w:szCs w:val="32"/>
          <w:vertAlign w:val="baseline"/>
        </w:rPr>
        <w:t>年</w:t>
      </w:r>
      <w:r>
        <w:rPr>
          <w:rFonts w:hint="eastAsia" w:ascii="仿宋_GB2312" w:hAnsi="仿宋_GB2312" w:eastAsia="仿宋_GB2312" w:cs="仿宋_GB2312"/>
          <w:b w:val="0"/>
          <w:bCs w:val="0"/>
          <w:i w:val="0"/>
          <w:iCs w:val="0"/>
          <w:color w:val="000000"/>
          <w:spacing w:val="0"/>
          <w:w w:val="100"/>
          <w:sz w:val="32"/>
          <w:szCs w:val="32"/>
          <w:vertAlign w:val="baseline"/>
          <w:lang w:eastAsia="zh-CN"/>
        </w:rPr>
        <w:t>第</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三</w:t>
      </w:r>
      <w:r>
        <w:rPr>
          <w:rFonts w:hint="eastAsia" w:ascii="仿宋_GB2312" w:hAnsi="仿宋_GB2312" w:eastAsia="仿宋_GB2312" w:cs="仿宋_GB2312"/>
          <w:b w:val="0"/>
          <w:bCs w:val="0"/>
          <w:i w:val="0"/>
          <w:iCs w:val="0"/>
          <w:color w:val="000000"/>
          <w:spacing w:val="0"/>
          <w:w w:val="100"/>
          <w:sz w:val="32"/>
          <w:szCs w:val="32"/>
          <w:vertAlign w:val="baseline"/>
        </w:rPr>
        <w:t>季度，</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南安市全域可开放容量33.07万千瓦，南部区域相对充足，北部山区相对紧张，已有2座220千伏变电站承载力受限</w:t>
      </w:r>
      <w:r>
        <w:rPr>
          <w:rFonts w:hint="eastAsia" w:ascii="仿宋_GB2312" w:hAnsi="仿宋_GB2312" w:eastAsia="仿宋_GB2312" w:cs="仿宋_GB2312"/>
          <w:b w:val="0"/>
          <w:bCs w:val="0"/>
          <w:i w:val="0"/>
          <w:iCs w:val="0"/>
          <w:color w:val="000000"/>
          <w:spacing w:val="0"/>
          <w:w w:val="100"/>
          <w:sz w:val="32"/>
          <w:szCs w:val="32"/>
          <w:vertAlign w:val="baseline"/>
        </w:rPr>
        <w:t>。</w:t>
      </w:r>
    </w:p>
    <w:p w14:paraId="48F69BCC">
      <w:pPr>
        <w:pStyle w:val="3"/>
        <w:keepNext w:val="0"/>
        <w:keepLines w:val="0"/>
        <w:widowControl/>
        <w:suppressLineNumbers w:val="0"/>
        <w:spacing w:before="0" w:beforeAutospacing="0" w:after="0" w:afterAutospacing="0" w:line="578" w:lineRule="exact"/>
        <w:ind w:left="0" w:right="0" w:firstLine="419"/>
        <w:jc w:val="center"/>
        <w:rPr>
          <w:rFonts w:hint="eastAsia"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表1--南安市承载力测算情况</w:t>
      </w:r>
    </w:p>
    <w:tbl>
      <w:tblPr>
        <w:tblStyle w:val="4"/>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39"/>
        <w:gridCol w:w="1176"/>
        <w:gridCol w:w="1408"/>
        <w:gridCol w:w="1478"/>
        <w:gridCol w:w="1584"/>
        <w:gridCol w:w="1175"/>
      </w:tblGrid>
      <w:tr w14:paraId="0D88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8" w:hRule="atLeast"/>
          <w:jc w:val="center"/>
        </w:trPr>
        <w:tc>
          <w:tcPr>
            <w:tcW w:w="1039" w:type="dxa"/>
            <w:shd w:val="clear" w:color="auto" w:fill="auto"/>
            <w:tcMar>
              <w:top w:w="0" w:type="dxa"/>
              <w:left w:w="108" w:type="dxa"/>
              <w:bottom w:w="0" w:type="dxa"/>
              <w:right w:w="108" w:type="dxa"/>
            </w:tcMar>
            <w:vAlign w:val="center"/>
          </w:tcPr>
          <w:p w14:paraId="65ACD0A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地市</w:t>
            </w:r>
          </w:p>
        </w:tc>
        <w:tc>
          <w:tcPr>
            <w:tcW w:w="1176" w:type="dxa"/>
            <w:shd w:val="clear" w:color="auto" w:fill="auto"/>
            <w:tcMar>
              <w:top w:w="0" w:type="dxa"/>
              <w:left w:w="108" w:type="dxa"/>
              <w:bottom w:w="0" w:type="dxa"/>
              <w:right w:w="108" w:type="dxa"/>
            </w:tcMar>
            <w:vAlign w:val="center"/>
          </w:tcPr>
          <w:p w14:paraId="1B35321A">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县（市、区）</w:t>
            </w:r>
          </w:p>
        </w:tc>
        <w:tc>
          <w:tcPr>
            <w:tcW w:w="1408" w:type="dxa"/>
            <w:shd w:val="clear" w:color="auto" w:fill="auto"/>
            <w:tcMar>
              <w:top w:w="0" w:type="dxa"/>
              <w:left w:w="108" w:type="dxa"/>
              <w:bottom w:w="0" w:type="dxa"/>
              <w:right w:w="108" w:type="dxa"/>
            </w:tcMar>
            <w:vAlign w:val="center"/>
          </w:tcPr>
          <w:p w14:paraId="7602A685">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是否整体受限</w:t>
            </w:r>
          </w:p>
        </w:tc>
        <w:tc>
          <w:tcPr>
            <w:tcW w:w="1478" w:type="dxa"/>
            <w:shd w:val="clear" w:color="auto" w:fill="auto"/>
            <w:tcMar>
              <w:top w:w="0" w:type="dxa"/>
              <w:left w:w="108" w:type="dxa"/>
              <w:bottom w:w="0" w:type="dxa"/>
              <w:right w:w="108" w:type="dxa"/>
            </w:tcMar>
            <w:vAlign w:val="center"/>
          </w:tcPr>
          <w:p w14:paraId="1A35B61C">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已接容量（MW）</w:t>
            </w:r>
          </w:p>
        </w:tc>
        <w:tc>
          <w:tcPr>
            <w:tcW w:w="1584" w:type="dxa"/>
            <w:shd w:val="clear" w:color="auto" w:fill="auto"/>
            <w:tcMar>
              <w:top w:w="0" w:type="dxa"/>
              <w:left w:w="108" w:type="dxa"/>
              <w:bottom w:w="0" w:type="dxa"/>
              <w:right w:w="108" w:type="dxa"/>
            </w:tcMar>
            <w:vAlign w:val="center"/>
          </w:tcPr>
          <w:p w14:paraId="6D804B7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在途容量（MW）</w:t>
            </w:r>
          </w:p>
        </w:tc>
        <w:tc>
          <w:tcPr>
            <w:tcW w:w="1175" w:type="dxa"/>
            <w:shd w:val="clear" w:color="auto" w:fill="auto"/>
            <w:tcMar>
              <w:top w:w="0" w:type="dxa"/>
              <w:left w:w="108" w:type="dxa"/>
              <w:bottom w:w="0" w:type="dxa"/>
              <w:right w:w="108" w:type="dxa"/>
            </w:tcMar>
            <w:vAlign w:val="center"/>
          </w:tcPr>
          <w:p w14:paraId="3B5834D5">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可开放容量（MW）</w:t>
            </w:r>
          </w:p>
        </w:tc>
      </w:tr>
      <w:tr w14:paraId="5E9C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1039" w:type="dxa"/>
            <w:shd w:val="clear" w:color="auto" w:fill="auto"/>
            <w:tcMar>
              <w:top w:w="0" w:type="dxa"/>
              <w:left w:w="108" w:type="dxa"/>
              <w:bottom w:w="0" w:type="dxa"/>
              <w:right w:w="108" w:type="dxa"/>
            </w:tcMar>
            <w:vAlign w:val="center"/>
          </w:tcPr>
          <w:p w14:paraId="2B019A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iCs w:val="0"/>
                <w:color w:val="000000"/>
                <w:spacing w:val="0"/>
                <w:w w:val="100"/>
                <w:sz w:val="32"/>
                <w:szCs w:val="32"/>
                <w:vertAlign w:val="baseline"/>
                <w:lang w:val="en-US"/>
              </w:rPr>
            </w:pPr>
            <w:r>
              <w:rPr>
                <w:rFonts w:hint="eastAsia" w:ascii="仿宋_GB2312" w:hAnsi="仿宋_GB2312" w:eastAsia="仿宋_GB2312" w:cs="仿宋_GB2312"/>
                <w:sz w:val="32"/>
                <w:szCs w:val="32"/>
                <w:lang w:eastAsia="zh-CN"/>
              </w:rPr>
              <w:t>泉州市</w:t>
            </w:r>
          </w:p>
        </w:tc>
        <w:tc>
          <w:tcPr>
            <w:tcW w:w="1176" w:type="dxa"/>
            <w:shd w:val="clear" w:color="auto" w:fill="auto"/>
            <w:tcMar>
              <w:top w:w="0" w:type="dxa"/>
              <w:left w:w="108" w:type="dxa"/>
              <w:bottom w:w="0" w:type="dxa"/>
              <w:right w:w="108" w:type="dxa"/>
            </w:tcMar>
            <w:vAlign w:val="center"/>
          </w:tcPr>
          <w:p w14:paraId="1AA8A5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iCs w:val="0"/>
                <w:color w:val="000000"/>
                <w:spacing w:val="0"/>
                <w:w w:val="100"/>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南安市</w:t>
            </w:r>
          </w:p>
        </w:tc>
        <w:tc>
          <w:tcPr>
            <w:tcW w:w="1408" w:type="dxa"/>
            <w:shd w:val="clear" w:color="auto" w:fill="auto"/>
            <w:tcMar>
              <w:top w:w="0" w:type="dxa"/>
              <w:left w:w="108" w:type="dxa"/>
              <w:bottom w:w="0" w:type="dxa"/>
              <w:right w:w="108" w:type="dxa"/>
            </w:tcMar>
            <w:vAlign w:val="center"/>
          </w:tcPr>
          <w:p w14:paraId="70C1B8B4">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1" w:leftChars="0" w:right="0" w:rightChars="0" w:firstLine="419" w:firstLineChars="0"/>
              <w:jc w:val="both"/>
              <w:rPr>
                <w:rFonts w:hint="eastAsia" w:ascii="仿宋_GB2312" w:hAnsi="仿宋_GB2312" w:eastAsia="仿宋_GB2312" w:cs="仿宋_GB2312"/>
                <w:b w:val="0"/>
                <w:bCs w:val="0"/>
                <w:i w:val="0"/>
                <w:iCs w:val="0"/>
                <w:color w:val="000000"/>
                <w:spacing w:val="0"/>
                <w:w w:val="100"/>
                <w:sz w:val="32"/>
                <w:szCs w:val="32"/>
                <w:vertAlign w:val="baseline"/>
                <w:lang w:val="en-US"/>
              </w:rPr>
            </w:pP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否</w:t>
            </w:r>
          </w:p>
        </w:tc>
        <w:tc>
          <w:tcPr>
            <w:tcW w:w="1478" w:type="dxa"/>
            <w:shd w:val="clear" w:color="auto" w:fill="auto"/>
            <w:tcMar>
              <w:top w:w="0" w:type="dxa"/>
              <w:left w:w="108" w:type="dxa"/>
              <w:bottom w:w="0" w:type="dxa"/>
              <w:right w:w="108" w:type="dxa"/>
            </w:tcMar>
            <w:vAlign w:val="center"/>
          </w:tcPr>
          <w:p w14:paraId="171BB3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pPr>
            <w:r>
              <w:rPr>
                <w:rFonts w:hint="eastAsia" w:ascii="仿宋_GB2312" w:hAnsi="仿宋_GB2312" w:eastAsia="仿宋_GB2312" w:cs="仿宋_GB2312"/>
                <w:b w:val="0"/>
                <w:bCs w:val="0"/>
                <w:i w:val="0"/>
                <w:iCs w:val="0"/>
                <w:color w:val="000000"/>
                <w:spacing w:val="0"/>
                <w:w w:val="100"/>
                <w:kern w:val="2"/>
                <w:sz w:val="32"/>
                <w:szCs w:val="32"/>
                <w:highlight w:val="none"/>
                <w:vertAlign w:val="baseline"/>
                <w:lang w:val="en-US" w:eastAsia="zh-CN" w:bidi="ar-SA"/>
              </w:rPr>
              <w:t>1114.67</w:t>
            </w:r>
          </w:p>
        </w:tc>
        <w:tc>
          <w:tcPr>
            <w:tcW w:w="1584" w:type="dxa"/>
            <w:shd w:val="clear" w:color="auto" w:fill="auto"/>
            <w:tcMar>
              <w:top w:w="0" w:type="dxa"/>
              <w:left w:w="108" w:type="dxa"/>
              <w:bottom w:w="0" w:type="dxa"/>
              <w:right w:w="108" w:type="dxa"/>
            </w:tcMar>
            <w:vAlign w:val="center"/>
          </w:tcPr>
          <w:p w14:paraId="3903686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pPr>
            <w:r>
              <w:rPr>
                <w:rFonts w:hint="eastAsia" w:ascii="仿宋_GB2312" w:hAnsi="仿宋_GB2312" w:eastAsia="仿宋_GB2312" w:cs="仿宋_GB2312"/>
                <w:b w:val="0"/>
                <w:bCs w:val="0"/>
                <w:i w:val="0"/>
                <w:iCs w:val="0"/>
                <w:color w:val="000000"/>
                <w:spacing w:val="0"/>
                <w:w w:val="100"/>
                <w:kern w:val="2"/>
                <w:sz w:val="32"/>
                <w:szCs w:val="32"/>
                <w:highlight w:val="none"/>
                <w:vertAlign w:val="baseline"/>
                <w:lang w:val="en-US" w:eastAsia="zh-CN" w:bidi="ar-SA"/>
              </w:rPr>
              <w:t>73.13</w:t>
            </w:r>
          </w:p>
        </w:tc>
        <w:tc>
          <w:tcPr>
            <w:tcW w:w="1175" w:type="dxa"/>
            <w:shd w:val="clear" w:color="auto" w:fill="auto"/>
            <w:tcMar>
              <w:top w:w="0" w:type="dxa"/>
              <w:left w:w="108" w:type="dxa"/>
              <w:bottom w:w="0" w:type="dxa"/>
              <w:right w:w="108" w:type="dxa"/>
            </w:tcMar>
            <w:vAlign w:val="center"/>
          </w:tcPr>
          <w:p w14:paraId="048E86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pPr>
            <w:r>
              <w:rPr>
                <w:rFonts w:hint="eastAsia" w:ascii="仿宋_GB2312" w:hAnsi="仿宋_GB2312" w:eastAsia="仿宋_GB2312" w:cs="仿宋_GB2312"/>
                <w:b w:val="0"/>
                <w:bCs w:val="0"/>
                <w:i w:val="0"/>
                <w:iCs w:val="0"/>
                <w:color w:val="000000"/>
                <w:spacing w:val="0"/>
                <w:w w:val="100"/>
                <w:kern w:val="2"/>
                <w:sz w:val="32"/>
                <w:szCs w:val="32"/>
                <w:highlight w:val="none"/>
                <w:vertAlign w:val="baseline"/>
                <w:lang w:val="en-US" w:eastAsia="zh-CN" w:bidi="ar-SA"/>
              </w:rPr>
              <w:t>330.67</w:t>
            </w:r>
          </w:p>
        </w:tc>
      </w:tr>
    </w:tbl>
    <w:p w14:paraId="392AA4BD">
      <w:pPr>
        <w:pStyle w:val="3"/>
        <w:keepNext w:val="0"/>
        <w:keepLines w:val="0"/>
        <w:widowControl/>
        <w:numPr>
          <w:ilvl w:val="0"/>
          <w:numId w:val="0"/>
        </w:numPr>
        <w:suppressLineNumbers w:val="0"/>
        <w:spacing w:before="0" w:beforeAutospacing="0" w:after="0" w:afterAutospacing="0" w:line="578" w:lineRule="exact"/>
        <w:ind w:left="838" w:leftChars="0" w:right="0" w:right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spacing w:val="0"/>
          <w:w w:val="100"/>
          <w:sz w:val="32"/>
          <w:szCs w:val="32"/>
          <w:vertAlign w:val="baseline"/>
          <w:lang w:val="en-US" w:eastAsia="zh-CN"/>
        </w:rPr>
        <w:t>2.</w:t>
      </w:r>
      <w:r>
        <w:rPr>
          <w:rFonts w:hint="eastAsia" w:ascii="仿宋_GB2312" w:hAnsi="仿宋_GB2312" w:eastAsia="仿宋_GB2312" w:cs="仿宋_GB2312"/>
          <w:b/>
          <w:bCs/>
          <w:i w:val="0"/>
          <w:iCs w:val="0"/>
          <w:color w:val="000000"/>
          <w:spacing w:val="0"/>
          <w:w w:val="100"/>
          <w:sz w:val="32"/>
          <w:szCs w:val="32"/>
          <w:vertAlign w:val="baseline"/>
        </w:rPr>
        <w:t>受限设备情况</w:t>
      </w:r>
    </w:p>
    <w:p w14:paraId="1E729B6C">
      <w:pPr>
        <w:pStyle w:val="3"/>
        <w:keepNext w:val="0"/>
        <w:keepLines w:val="0"/>
        <w:widowControl/>
        <w:suppressLineNumbers w:val="0"/>
        <w:spacing w:before="0" w:beforeAutospacing="0" w:after="0" w:afterAutospacing="0" w:line="578" w:lineRule="exact"/>
        <w:ind w:left="0" w:right="0" w:firstLine="419"/>
        <w:jc w:val="both"/>
        <w:rPr>
          <w:rFonts w:hint="eastAsia" w:ascii="仿宋_GB2312" w:hAnsi="仿宋_GB2312" w:eastAsia="仿宋_GB2312" w:cs="仿宋_GB2312"/>
          <w:b w:val="0"/>
          <w:bCs w:val="0"/>
          <w:i w:val="0"/>
          <w:iCs w:val="0"/>
          <w:color w:val="0000FF"/>
          <w:spacing w:val="0"/>
          <w:w w:val="100"/>
          <w:sz w:val="32"/>
          <w:szCs w:val="32"/>
          <w:highlight w:val="cyan"/>
          <w:vertAlign w:val="baseline"/>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根据2025</w:t>
      </w:r>
      <w:r>
        <w:rPr>
          <w:rFonts w:hint="eastAsia" w:ascii="仿宋_GB2312" w:hAnsi="仿宋_GB2312" w:eastAsia="仿宋_GB2312" w:cs="仿宋_GB2312"/>
          <w:b w:val="0"/>
          <w:bCs w:val="0"/>
          <w:i w:val="0"/>
          <w:iCs w:val="0"/>
          <w:color w:val="000000"/>
          <w:spacing w:val="0"/>
          <w:w w:val="100"/>
          <w:sz w:val="32"/>
          <w:szCs w:val="32"/>
          <w:vertAlign w:val="baseline"/>
        </w:rPr>
        <w:t>年</w:t>
      </w:r>
      <w:r>
        <w:rPr>
          <w:rFonts w:hint="eastAsia" w:ascii="仿宋_GB2312" w:hAnsi="仿宋_GB2312" w:eastAsia="仿宋_GB2312" w:cs="仿宋_GB2312"/>
          <w:b w:val="0"/>
          <w:bCs w:val="0"/>
          <w:i w:val="0"/>
          <w:iCs w:val="0"/>
          <w:color w:val="000000"/>
          <w:spacing w:val="0"/>
          <w:w w:val="100"/>
          <w:sz w:val="32"/>
          <w:szCs w:val="32"/>
          <w:vertAlign w:val="baseline"/>
          <w:lang w:eastAsia="zh-CN"/>
        </w:rPr>
        <w:t>第</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三</w:t>
      </w:r>
      <w:r>
        <w:rPr>
          <w:rFonts w:hint="eastAsia" w:ascii="仿宋_GB2312" w:hAnsi="仿宋_GB2312" w:eastAsia="仿宋_GB2312" w:cs="仿宋_GB2312"/>
          <w:b w:val="0"/>
          <w:bCs w:val="0"/>
          <w:i w:val="0"/>
          <w:iCs w:val="0"/>
          <w:color w:val="000000"/>
          <w:spacing w:val="0"/>
          <w:w w:val="100"/>
          <w:sz w:val="32"/>
          <w:szCs w:val="32"/>
          <w:vertAlign w:val="baseline"/>
        </w:rPr>
        <w:t>季度</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承载力测算情况</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南安市</w:t>
      </w:r>
      <w:r>
        <w:rPr>
          <w:rFonts w:hint="eastAsia" w:ascii="仿宋_GB2312" w:hAnsi="仿宋_GB2312" w:eastAsia="仿宋_GB2312" w:cs="仿宋_GB2312"/>
          <w:b w:val="0"/>
          <w:bCs w:val="0"/>
          <w:i w:val="0"/>
          <w:iCs w:val="0"/>
          <w:color w:val="000000"/>
          <w:spacing w:val="0"/>
          <w:w w:val="100"/>
          <w:sz w:val="32"/>
          <w:szCs w:val="32"/>
          <w:vertAlign w:val="baseline"/>
        </w:rPr>
        <w:t>220千伏主变受限</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3</w:t>
      </w:r>
      <w:r>
        <w:rPr>
          <w:rFonts w:hint="eastAsia" w:ascii="仿宋_GB2312" w:hAnsi="仿宋_GB2312" w:eastAsia="仿宋_GB2312" w:cs="仿宋_GB2312"/>
          <w:b w:val="0"/>
          <w:bCs w:val="0"/>
          <w:i w:val="0"/>
          <w:iCs w:val="0"/>
          <w:color w:val="000000"/>
          <w:spacing w:val="0"/>
          <w:w w:val="100"/>
          <w:sz w:val="32"/>
          <w:szCs w:val="32"/>
          <w:highlight w:val="none"/>
          <w:vertAlign w:val="baseline"/>
        </w:rPr>
        <w:t>台；110千伏主变受限</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11</w:t>
      </w:r>
      <w:r>
        <w:rPr>
          <w:rFonts w:hint="eastAsia" w:ascii="仿宋_GB2312" w:hAnsi="仿宋_GB2312" w:eastAsia="仿宋_GB2312" w:cs="仿宋_GB2312"/>
          <w:b w:val="0"/>
          <w:bCs w:val="0"/>
          <w:i w:val="0"/>
          <w:iCs w:val="0"/>
          <w:color w:val="000000"/>
          <w:spacing w:val="0"/>
          <w:w w:val="100"/>
          <w:sz w:val="32"/>
          <w:szCs w:val="32"/>
          <w:highlight w:val="none"/>
          <w:vertAlign w:val="baseline"/>
        </w:rPr>
        <w:t>台，其中因本级电网受限的有</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highlight w:val="none"/>
          <w:vertAlign w:val="baseline"/>
        </w:rPr>
        <w:t>台；35千伏主变受限</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highlight w:val="none"/>
          <w:vertAlign w:val="baseline"/>
        </w:rPr>
        <w:t>台，其中因本级电网受限的有</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2</w:t>
      </w:r>
      <w:r>
        <w:rPr>
          <w:rFonts w:hint="eastAsia" w:ascii="仿宋_GB2312" w:hAnsi="仿宋_GB2312" w:eastAsia="仿宋_GB2312" w:cs="仿宋_GB2312"/>
          <w:b w:val="0"/>
          <w:bCs w:val="0"/>
          <w:i w:val="0"/>
          <w:iCs w:val="0"/>
          <w:color w:val="000000"/>
          <w:spacing w:val="0"/>
          <w:w w:val="100"/>
          <w:sz w:val="32"/>
          <w:szCs w:val="32"/>
          <w:highlight w:val="none"/>
          <w:vertAlign w:val="baseline"/>
        </w:rPr>
        <w:t>台；10千伏</w:t>
      </w:r>
      <w:r>
        <w:rPr>
          <w:rFonts w:hint="eastAsia" w:ascii="仿宋_GB2312" w:hAnsi="仿宋_GB2312" w:eastAsia="仿宋_GB2312" w:cs="仿宋_GB2312"/>
          <w:b w:val="0"/>
          <w:bCs w:val="0"/>
          <w:i w:val="0"/>
          <w:iCs w:val="0"/>
          <w:color w:val="000000"/>
          <w:spacing w:val="0"/>
          <w:w w:val="100"/>
          <w:sz w:val="32"/>
          <w:szCs w:val="32"/>
          <w:highlight w:val="none"/>
          <w:vertAlign w:val="baseline"/>
          <w:lang w:eastAsia="zh-CN"/>
        </w:rPr>
        <w:t>公用馈线</w:t>
      </w:r>
      <w:r>
        <w:rPr>
          <w:rFonts w:hint="eastAsia" w:ascii="仿宋_GB2312" w:hAnsi="仿宋_GB2312" w:eastAsia="仿宋_GB2312" w:cs="仿宋_GB2312"/>
          <w:b w:val="0"/>
          <w:bCs w:val="0"/>
          <w:i w:val="0"/>
          <w:iCs w:val="0"/>
          <w:color w:val="000000"/>
          <w:spacing w:val="0"/>
          <w:w w:val="100"/>
          <w:sz w:val="32"/>
          <w:szCs w:val="32"/>
          <w:highlight w:val="none"/>
          <w:vertAlign w:val="baseline"/>
        </w:rPr>
        <w:t>受限</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123</w:t>
      </w:r>
      <w:r>
        <w:rPr>
          <w:rFonts w:hint="eastAsia" w:ascii="仿宋_GB2312" w:hAnsi="仿宋_GB2312" w:eastAsia="仿宋_GB2312" w:cs="仿宋_GB2312"/>
          <w:b w:val="0"/>
          <w:bCs w:val="0"/>
          <w:i w:val="0"/>
          <w:iCs w:val="0"/>
          <w:color w:val="000000"/>
          <w:spacing w:val="0"/>
          <w:w w:val="100"/>
          <w:sz w:val="32"/>
          <w:szCs w:val="32"/>
          <w:highlight w:val="none"/>
          <w:vertAlign w:val="baseline"/>
        </w:rPr>
        <w:t>条，其中因</w:t>
      </w:r>
      <w:r>
        <w:rPr>
          <w:rFonts w:hint="eastAsia" w:ascii="仿宋_GB2312" w:hAnsi="仿宋_GB2312" w:eastAsia="仿宋_GB2312" w:cs="仿宋_GB2312"/>
          <w:b w:val="0"/>
          <w:bCs w:val="0"/>
          <w:i w:val="0"/>
          <w:iCs w:val="0"/>
          <w:color w:val="auto"/>
          <w:spacing w:val="0"/>
          <w:w w:val="100"/>
          <w:sz w:val="32"/>
          <w:szCs w:val="32"/>
          <w:highlight w:val="none"/>
          <w:vertAlign w:val="baseline"/>
        </w:rPr>
        <w:t>本级电网受限的有</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0条</w:t>
      </w:r>
      <w:r>
        <w:rPr>
          <w:rFonts w:hint="eastAsia" w:ascii="仿宋_GB2312" w:hAnsi="仿宋_GB2312" w:eastAsia="仿宋_GB2312" w:cs="仿宋_GB2312"/>
          <w:b w:val="0"/>
          <w:bCs w:val="0"/>
          <w:i w:val="0"/>
          <w:iCs w:val="0"/>
          <w:color w:val="auto"/>
          <w:spacing w:val="0"/>
          <w:w w:val="100"/>
          <w:sz w:val="32"/>
          <w:szCs w:val="32"/>
          <w:highlight w:val="none"/>
          <w:vertAlign w:val="baseline"/>
        </w:rPr>
        <w:t>；10千伏配变受限</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2263</w:t>
      </w:r>
      <w:r>
        <w:rPr>
          <w:rFonts w:hint="eastAsia" w:ascii="仿宋_GB2312" w:hAnsi="仿宋_GB2312" w:eastAsia="仿宋_GB2312" w:cs="仿宋_GB2312"/>
          <w:b w:val="0"/>
          <w:bCs w:val="0"/>
          <w:i w:val="0"/>
          <w:iCs w:val="0"/>
          <w:color w:val="auto"/>
          <w:spacing w:val="0"/>
          <w:w w:val="100"/>
          <w:sz w:val="32"/>
          <w:szCs w:val="32"/>
          <w:highlight w:val="none"/>
          <w:vertAlign w:val="baseline"/>
        </w:rPr>
        <w:t>台，其中因本级电网受限的有</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87</w:t>
      </w:r>
      <w:r>
        <w:rPr>
          <w:rFonts w:hint="eastAsia" w:ascii="仿宋_GB2312" w:hAnsi="仿宋_GB2312" w:eastAsia="仿宋_GB2312" w:cs="仿宋_GB2312"/>
          <w:b w:val="0"/>
          <w:bCs w:val="0"/>
          <w:i w:val="0"/>
          <w:iCs w:val="0"/>
          <w:color w:val="auto"/>
          <w:spacing w:val="0"/>
          <w:w w:val="100"/>
          <w:sz w:val="32"/>
          <w:szCs w:val="32"/>
          <w:highlight w:val="none"/>
          <w:vertAlign w:val="baseline"/>
        </w:rPr>
        <w:t>台。</w:t>
      </w:r>
    </w:p>
    <w:p w14:paraId="1B0E7F13">
      <w:pPr>
        <w:pStyle w:val="3"/>
        <w:keepNext w:val="0"/>
        <w:keepLines w:val="0"/>
        <w:widowControl/>
        <w:suppressLineNumbers w:val="0"/>
        <w:spacing w:before="0" w:beforeAutospacing="0" w:after="0" w:afterAutospacing="0" w:line="578" w:lineRule="exact"/>
        <w:ind w:left="0" w:right="0" w:firstLine="419"/>
        <w:jc w:val="center"/>
        <w:rPr>
          <w:rFonts w:hint="eastAsia" w:ascii="仿宋_GB2312" w:hAnsi="仿宋_GB2312" w:eastAsia="仿宋_GB2312" w:cs="仿宋_GB2312"/>
          <w:b w:val="0"/>
          <w:bCs w:val="0"/>
          <w:i w:val="0"/>
          <w:iCs w:val="0"/>
          <w:color w:val="000000"/>
          <w:spacing w:val="0"/>
          <w:w w:val="100"/>
          <w:sz w:val="32"/>
          <w:szCs w:val="32"/>
          <w:vertAlign w:val="baseline"/>
          <w:lang w:val="en-US" w:eastAsia="zh-CN"/>
        </w:rPr>
      </w:pPr>
    </w:p>
    <w:p w14:paraId="7DA3CD56">
      <w:pPr>
        <w:pStyle w:val="3"/>
        <w:keepNext w:val="0"/>
        <w:keepLines w:val="0"/>
        <w:widowControl/>
        <w:suppressLineNumbers w:val="0"/>
        <w:spacing w:before="0" w:beforeAutospacing="0" w:after="0" w:afterAutospacing="0" w:line="578" w:lineRule="exact"/>
        <w:ind w:left="0" w:right="0" w:firstLine="419"/>
        <w:jc w:val="center"/>
        <w:rPr>
          <w:rFonts w:hint="eastAsia" w:ascii="仿宋_GB2312" w:hAnsi="仿宋_GB2312" w:eastAsia="仿宋_GB2312" w:cs="仿宋_GB2312"/>
          <w:b w:val="0"/>
          <w:bCs w:val="0"/>
          <w:i w:val="0"/>
          <w:iCs w:val="0"/>
          <w:color w:val="000000"/>
          <w:spacing w:val="0"/>
          <w:w w:val="100"/>
          <w:sz w:val="32"/>
          <w:szCs w:val="32"/>
          <w:vertAlign w:val="baseline"/>
          <w:lang w:val="en-US" w:eastAsia="zh-CN"/>
        </w:rPr>
      </w:pPr>
      <w:bookmarkStart w:id="0" w:name="_GoBack"/>
      <w:bookmarkEnd w:id="0"/>
      <w:r>
        <w:rPr>
          <w:rFonts w:hint="eastAsia" w:ascii="仿宋_GB2312" w:hAnsi="仿宋_GB2312" w:eastAsia="仿宋_GB2312" w:cs="仿宋_GB2312"/>
          <w:b w:val="0"/>
          <w:bCs w:val="0"/>
          <w:i w:val="0"/>
          <w:iCs w:val="0"/>
          <w:color w:val="000000"/>
          <w:spacing w:val="0"/>
          <w:w w:val="100"/>
          <w:sz w:val="32"/>
          <w:szCs w:val="32"/>
          <w:vertAlign w:val="baseline"/>
          <w:lang w:val="en-US" w:eastAsia="zh-CN"/>
        </w:rPr>
        <w:t>表2--泉州市分电压等级承载力测算情况</w:t>
      </w:r>
    </w:p>
    <w:tbl>
      <w:tblPr>
        <w:tblStyle w:val="4"/>
        <w:tblW w:w="888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4"/>
        <w:gridCol w:w="1046"/>
        <w:gridCol w:w="1158"/>
        <w:gridCol w:w="708"/>
        <w:gridCol w:w="710"/>
        <w:gridCol w:w="646"/>
        <w:gridCol w:w="762"/>
        <w:gridCol w:w="694"/>
        <w:gridCol w:w="713"/>
        <w:gridCol w:w="762"/>
        <w:gridCol w:w="719"/>
      </w:tblGrid>
      <w:tr w14:paraId="269B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14:paraId="502D0B34">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地市</w:t>
            </w:r>
          </w:p>
        </w:tc>
        <w:tc>
          <w:tcPr>
            <w:tcW w:w="1046" w:type="dxa"/>
            <w:shd w:val="clear" w:color="auto" w:fill="auto"/>
            <w:tcMar>
              <w:top w:w="0" w:type="dxa"/>
              <w:left w:w="108" w:type="dxa"/>
              <w:bottom w:w="0" w:type="dxa"/>
              <w:right w:w="108" w:type="dxa"/>
            </w:tcMar>
            <w:vAlign w:val="center"/>
          </w:tcPr>
          <w:p w14:paraId="6A183F9A">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县（市、区）名称</w:t>
            </w:r>
          </w:p>
        </w:tc>
        <w:tc>
          <w:tcPr>
            <w:tcW w:w="1158" w:type="dxa"/>
            <w:shd w:val="clear" w:color="auto" w:fill="auto"/>
            <w:tcMar>
              <w:top w:w="0" w:type="dxa"/>
              <w:left w:w="108" w:type="dxa"/>
              <w:bottom w:w="0" w:type="dxa"/>
              <w:right w:w="108" w:type="dxa"/>
            </w:tcMar>
            <w:vAlign w:val="center"/>
          </w:tcPr>
          <w:p w14:paraId="64F5F0F3">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220千伏主变受限数量（台）</w:t>
            </w:r>
          </w:p>
        </w:tc>
        <w:tc>
          <w:tcPr>
            <w:tcW w:w="1418" w:type="dxa"/>
            <w:gridSpan w:val="2"/>
            <w:shd w:val="clear" w:color="auto" w:fill="auto"/>
            <w:tcMar>
              <w:top w:w="0" w:type="dxa"/>
              <w:left w:w="108" w:type="dxa"/>
              <w:bottom w:w="0" w:type="dxa"/>
              <w:right w:w="108" w:type="dxa"/>
            </w:tcMar>
            <w:vAlign w:val="center"/>
          </w:tcPr>
          <w:p w14:paraId="51EB92B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110千伏主变受限数量（台）</w:t>
            </w:r>
          </w:p>
        </w:tc>
        <w:tc>
          <w:tcPr>
            <w:tcW w:w="1408" w:type="dxa"/>
            <w:gridSpan w:val="2"/>
            <w:shd w:val="clear" w:color="auto" w:fill="auto"/>
            <w:tcMar>
              <w:top w:w="0" w:type="dxa"/>
              <w:left w:w="108" w:type="dxa"/>
              <w:bottom w:w="0" w:type="dxa"/>
              <w:right w:w="108" w:type="dxa"/>
            </w:tcMar>
            <w:vAlign w:val="center"/>
          </w:tcPr>
          <w:p w14:paraId="09AD79BA">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35千伏主变受限数量（台）</w:t>
            </w:r>
          </w:p>
        </w:tc>
        <w:tc>
          <w:tcPr>
            <w:tcW w:w="1407" w:type="dxa"/>
            <w:gridSpan w:val="2"/>
            <w:shd w:val="clear" w:color="auto" w:fill="auto"/>
            <w:tcMar>
              <w:top w:w="0" w:type="dxa"/>
              <w:left w:w="108" w:type="dxa"/>
              <w:bottom w:w="0" w:type="dxa"/>
              <w:right w:w="108" w:type="dxa"/>
            </w:tcMar>
            <w:vAlign w:val="center"/>
          </w:tcPr>
          <w:p w14:paraId="3C6FCFA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10千伏线路受限数量（条）</w:t>
            </w:r>
          </w:p>
        </w:tc>
        <w:tc>
          <w:tcPr>
            <w:tcW w:w="1481" w:type="dxa"/>
            <w:gridSpan w:val="2"/>
            <w:shd w:val="clear" w:color="auto" w:fill="auto"/>
            <w:tcMar>
              <w:top w:w="0" w:type="dxa"/>
              <w:left w:w="108" w:type="dxa"/>
              <w:bottom w:w="0" w:type="dxa"/>
              <w:right w:w="108" w:type="dxa"/>
            </w:tcMar>
            <w:vAlign w:val="center"/>
          </w:tcPr>
          <w:p w14:paraId="2D9B104F">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10千伏配变受限数量（台）</w:t>
            </w:r>
          </w:p>
        </w:tc>
      </w:tr>
      <w:tr w14:paraId="7E3C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14:paraId="0FF614C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tc>
        <w:tc>
          <w:tcPr>
            <w:tcW w:w="1046" w:type="dxa"/>
            <w:shd w:val="clear" w:color="auto" w:fill="auto"/>
            <w:tcMar>
              <w:top w:w="0" w:type="dxa"/>
              <w:left w:w="108" w:type="dxa"/>
              <w:bottom w:w="0" w:type="dxa"/>
              <w:right w:w="108" w:type="dxa"/>
            </w:tcMar>
            <w:vAlign w:val="center"/>
          </w:tcPr>
          <w:p w14:paraId="33B91499">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tc>
        <w:tc>
          <w:tcPr>
            <w:tcW w:w="1158" w:type="dxa"/>
            <w:shd w:val="clear" w:color="auto" w:fill="auto"/>
            <w:tcMar>
              <w:top w:w="0" w:type="dxa"/>
              <w:left w:w="108" w:type="dxa"/>
              <w:bottom w:w="0" w:type="dxa"/>
              <w:right w:w="108" w:type="dxa"/>
            </w:tcMar>
            <w:vAlign w:val="center"/>
          </w:tcPr>
          <w:p w14:paraId="2654B87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tc>
        <w:tc>
          <w:tcPr>
            <w:tcW w:w="708" w:type="dxa"/>
            <w:shd w:val="clear" w:color="auto" w:fill="auto"/>
            <w:tcMar>
              <w:top w:w="0" w:type="dxa"/>
              <w:left w:w="108" w:type="dxa"/>
              <w:bottom w:w="0" w:type="dxa"/>
              <w:right w:w="108" w:type="dxa"/>
            </w:tcMar>
            <w:vAlign w:val="center"/>
          </w:tcPr>
          <w:p w14:paraId="4E32ECE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受限总数</w:t>
            </w:r>
          </w:p>
        </w:tc>
        <w:tc>
          <w:tcPr>
            <w:tcW w:w="710" w:type="dxa"/>
            <w:shd w:val="clear" w:color="auto" w:fill="auto"/>
            <w:tcMar>
              <w:top w:w="0" w:type="dxa"/>
              <w:left w:w="108" w:type="dxa"/>
              <w:bottom w:w="0" w:type="dxa"/>
              <w:right w:w="108" w:type="dxa"/>
            </w:tcMar>
            <w:vAlign w:val="center"/>
          </w:tcPr>
          <w:p w14:paraId="285CDE9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本级受限数</w:t>
            </w:r>
          </w:p>
        </w:tc>
        <w:tc>
          <w:tcPr>
            <w:tcW w:w="646" w:type="dxa"/>
            <w:shd w:val="clear" w:color="auto" w:fill="auto"/>
            <w:tcMar>
              <w:top w:w="0" w:type="dxa"/>
              <w:left w:w="108" w:type="dxa"/>
              <w:bottom w:w="0" w:type="dxa"/>
              <w:right w:w="108" w:type="dxa"/>
            </w:tcMar>
            <w:vAlign w:val="center"/>
          </w:tcPr>
          <w:p w14:paraId="33B2736C">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受限总数</w:t>
            </w:r>
          </w:p>
        </w:tc>
        <w:tc>
          <w:tcPr>
            <w:tcW w:w="762" w:type="dxa"/>
            <w:shd w:val="clear" w:color="auto" w:fill="auto"/>
            <w:tcMar>
              <w:top w:w="0" w:type="dxa"/>
              <w:left w:w="108" w:type="dxa"/>
              <w:bottom w:w="0" w:type="dxa"/>
              <w:right w:w="108" w:type="dxa"/>
            </w:tcMar>
            <w:vAlign w:val="center"/>
          </w:tcPr>
          <w:p w14:paraId="66E5F534">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本级受限数</w:t>
            </w:r>
          </w:p>
        </w:tc>
        <w:tc>
          <w:tcPr>
            <w:tcW w:w="694" w:type="dxa"/>
            <w:shd w:val="clear" w:color="auto" w:fill="auto"/>
            <w:tcMar>
              <w:top w:w="0" w:type="dxa"/>
              <w:left w:w="108" w:type="dxa"/>
              <w:bottom w:w="0" w:type="dxa"/>
              <w:right w:w="108" w:type="dxa"/>
            </w:tcMar>
            <w:vAlign w:val="center"/>
          </w:tcPr>
          <w:p w14:paraId="320CCF0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受限总数</w:t>
            </w:r>
          </w:p>
        </w:tc>
        <w:tc>
          <w:tcPr>
            <w:tcW w:w="713" w:type="dxa"/>
            <w:shd w:val="clear" w:color="auto" w:fill="auto"/>
            <w:tcMar>
              <w:top w:w="0" w:type="dxa"/>
              <w:left w:w="108" w:type="dxa"/>
              <w:bottom w:w="0" w:type="dxa"/>
              <w:right w:w="108" w:type="dxa"/>
            </w:tcMar>
            <w:vAlign w:val="center"/>
          </w:tcPr>
          <w:p w14:paraId="6677161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本级受限数</w:t>
            </w:r>
          </w:p>
        </w:tc>
        <w:tc>
          <w:tcPr>
            <w:tcW w:w="762" w:type="dxa"/>
            <w:shd w:val="clear" w:color="auto" w:fill="auto"/>
            <w:tcMar>
              <w:top w:w="0" w:type="dxa"/>
              <w:left w:w="108" w:type="dxa"/>
              <w:bottom w:w="0" w:type="dxa"/>
              <w:right w:w="108" w:type="dxa"/>
            </w:tcMar>
            <w:vAlign w:val="center"/>
          </w:tcPr>
          <w:p w14:paraId="09A9375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受限总数</w:t>
            </w:r>
          </w:p>
        </w:tc>
        <w:tc>
          <w:tcPr>
            <w:tcW w:w="719" w:type="dxa"/>
            <w:shd w:val="clear" w:color="auto" w:fill="auto"/>
            <w:tcMar>
              <w:top w:w="0" w:type="dxa"/>
              <w:left w:w="108" w:type="dxa"/>
              <w:bottom w:w="0" w:type="dxa"/>
              <w:right w:w="108" w:type="dxa"/>
            </w:tcMar>
            <w:vAlign w:val="center"/>
          </w:tcPr>
          <w:p w14:paraId="1BBB77D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color w:val="000000"/>
                <w:spacing w:val="0"/>
                <w:w w:val="100"/>
                <w:sz w:val="32"/>
                <w:szCs w:val="32"/>
                <w:highlight w:val="none"/>
                <w:vertAlign w:val="baseline"/>
              </w:rPr>
              <w:t>本级受限数</w:t>
            </w:r>
          </w:p>
        </w:tc>
      </w:tr>
      <w:tr w14:paraId="12E6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14:paraId="7C3419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iCs w:val="0"/>
                <w:color w:val="000000"/>
                <w:spacing w:val="0"/>
                <w:w w:val="100"/>
                <w:sz w:val="32"/>
                <w:szCs w:val="32"/>
                <w:vertAlign w:val="baseline"/>
                <w:lang w:val="en-US"/>
              </w:rPr>
            </w:pPr>
            <w:r>
              <w:rPr>
                <w:rFonts w:hint="eastAsia" w:ascii="仿宋_GB2312" w:hAnsi="仿宋_GB2312" w:eastAsia="仿宋_GB2312" w:cs="仿宋_GB2312"/>
                <w:sz w:val="32"/>
                <w:szCs w:val="32"/>
                <w:lang w:eastAsia="zh-CN"/>
              </w:rPr>
              <w:t>泉州市</w:t>
            </w:r>
          </w:p>
        </w:tc>
        <w:tc>
          <w:tcPr>
            <w:tcW w:w="1046" w:type="dxa"/>
            <w:shd w:val="clear" w:color="auto" w:fill="auto"/>
            <w:tcMar>
              <w:top w:w="0" w:type="dxa"/>
              <w:left w:w="108" w:type="dxa"/>
              <w:bottom w:w="0" w:type="dxa"/>
              <w:right w:w="108" w:type="dxa"/>
            </w:tcMar>
            <w:vAlign w:val="center"/>
          </w:tcPr>
          <w:p w14:paraId="60ACB7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iCs w:val="0"/>
                <w:color w:val="000000"/>
                <w:spacing w:val="0"/>
                <w:w w:val="100"/>
                <w:sz w:val="32"/>
                <w:szCs w:val="32"/>
                <w:vertAlign w:val="baseline"/>
                <w:lang w:val="en-US"/>
              </w:rPr>
            </w:pPr>
            <w:r>
              <w:rPr>
                <w:rFonts w:hint="eastAsia" w:ascii="仿宋_GB2312" w:hAnsi="仿宋_GB2312" w:eastAsia="仿宋_GB2312" w:cs="仿宋_GB2312"/>
                <w:i w:val="0"/>
                <w:iCs w:val="0"/>
                <w:color w:val="000000"/>
                <w:kern w:val="0"/>
                <w:sz w:val="32"/>
                <w:szCs w:val="32"/>
                <w:u w:val="none"/>
                <w:lang w:val="en-US" w:eastAsia="zh-CN" w:bidi="ar"/>
              </w:rPr>
              <w:t>南安市</w:t>
            </w:r>
          </w:p>
        </w:tc>
        <w:tc>
          <w:tcPr>
            <w:tcW w:w="1158" w:type="dxa"/>
            <w:shd w:val="clear" w:color="auto" w:fill="auto"/>
            <w:tcMar>
              <w:top w:w="0" w:type="dxa"/>
              <w:left w:w="108" w:type="dxa"/>
              <w:bottom w:w="0" w:type="dxa"/>
              <w:right w:w="108" w:type="dxa"/>
            </w:tcMar>
            <w:vAlign w:val="center"/>
          </w:tcPr>
          <w:p w14:paraId="5D7332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rPr>
            </w:pPr>
            <w:r>
              <w:rPr>
                <w:rFonts w:hint="eastAsia" w:ascii="仿宋_GB2312" w:hAnsi="仿宋_GB2312" w:eastAsia="仿宋_GB2312" w:cs="仿宋_GB2312"/>
                <w:i w:val="0"/>
                <w:color w:val="auto"/>
                <w:kern w:val="0"/>
                <w:sz w:val="32"/>
                <w:szCs w:val="32"/>
                <w:highlight w:val="none"/>
                <w:u w:val="none"/>
                <w:lang w:val="en-US" w:eastAsia="zh-CN" w:bidi="ar"/>
              </w:rPr>
              <w:t>3</w:t>
            </w:r>
          </w:p>
        </w:tc>
        <w:tc>
          <w:tcPr>
            <w:tcW w:w="708" w:type="dxa"/>
            <w:shd w:val="clear" w:color="auto" w:fill="auto"/>
            <w:tcMar>
              <w:top w:w="0" w:type="dxa"/>
              <w:left w:w="108" w:type="dxa"/>
              <w:bottom w:w="0" w:type="dxa"/>
              <w:right w:w="108" w:type="dxa"/>
            </w:tcMar>
            <w:vAlign w:val="center"/>
          </w:tcPr>
          <w:p w14:paraId="29DDBA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rPr>
            </w:pPr>
            <w:r>
              <w:rPr>
                <w:rFonts w:hint="eastAsia" w:ascii="仿宋_GB2312" w:hAnsi="仿宋_GB2312" w:eastAsia="仿宋_GB2312" w:cs="仿宋_GB2312"/>
                <w:i w:val="0"/>
                <w:color w:val="auto"/>
                <w:kern w:val="0"/>
                <w:sz w:val="32"/>
                <w:szCs w:val="32"/>
                <w:highlight w:val="none"/>
                <w:u w:val="none"/>
                <w:lang w:val="en-US" w:eastAsia="zh-CN" w:bidi="ar"/>
              </w:rPr>
              <w:t>11</w:t>
            </w:r>
          </w:p>
        </w:tc>
        <w:tc>
          <w:tcPr>
            <w:tcW w:w="710" w:type="dxa"/>
            <w:shd w:val="clear" w:color="auto" w:fill="auto"/>
            <w:tcMar>
              <w:top w:w="0" w:type="dxa"/>
              <w:left w:w="108" w:type="dxa"/>
              <w:bottom w:w="0" w:type="dxa"/>
              <w:right w:w="108" w:type="dxa"/>
            </w:tcMar>
            <w:vAlign w:val="center"/>
          </w:tcPr>
          <w:p w14:paraId="55BA24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pPr>
            <w:r>
              <w:rPr>
                <w:rFonts w:hint="eastAsia" w:ascii="仿宋_GB2312" w:hAnsi="仿宋_GB2312" w:eastAsia="仿宋_GB2312" w:cs="仿宋_GB2312"/>
                <w:i w:val="0"/>
                <w:color w:val="auto"/>
                <w:kern w:val="0"/>
                <w:sz w:val="32"/>
                <w:szCs w:val="32"/>
                <w:highlight w:val="none"/>
                <w:u w:val="none"/>
                <w:lang w:val="en-US" w:eastAsia="zh-CN" w:bidi="ar"/>
              </w:rPr>
              <w:t>0</w:t>
            </w:r>
          </w:p>
        </w:tc>
        <w:tc>
          <w:tcPr>
            <w:tcW w:w="646" w:type="dxa"/>
            <w:shd w:val="clear" w:color="auto" w:fill="auto"/>
            <w:tcMar>
              <w:top w:w="0" w:type="dxa"/>
              <w:left w:w="108" w:type="dxa"/>
              <w:bottom w:w="0" w:type="dxa"/>
              <w:right w:w="108" w:type="dxa"/>
            </w:tcMar>
            <w:vAlign w:val="center"/>
          </w:tcPr>
          <w:p w14:paraId="1A9BAD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rPr>
            </w:pPr>
            <w:r>
              <w:rPr>
                <w:rFonts w:hint="eastAsia" w:ascii="仿宋_GB2312" w:hAnsi="仿宋_GB2312" w:eastAsia="仿宋_GB2312" w:cs="仿宋_GB2312"/>
                <w:i w:val="0"/>
                <w:color w:val="auto"/>
                <w:kern w:val="0"/>
                <w:sz w:val="32"/>
                <w:szCs w:val="32"/>
                <w:highlight w:val="none"/>
                <w:u w:val="none"/>
                <w:lang w:val="en-US" w:eastAsia="zh-CN" w:bidi="ar"/>
              </w:rPr>
              <w:t>15</w:t>
            </w:r>
          </w:p>
        </w:tc>
        <w:tc>
          <w:tcPr>
            <w:tcW w:w="762" w:type="dxa"/>
            <w:shd w:val="clear" w:color="auto" w:fill="auto"/>
            <w:tcMar>
              <w:top w:w="0" w:type="dxa"/>
              <w:left w:w="108" w:type="dxa"/>
              <w:bottom w:w="0" w:type="dxa"/>
              <w:right w:w="108" w:type="dxa"/>
            </w:tcMar>
            <w:vAlign w:val="center"/>
          </w:tcPr>
          <w:p w14:paraId="057F96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rPr>
            </w:pPr>
            <w:r>
              <w:rPr>
                <w:rFonts w:hint="eastAsia" w:ascii="仿宋_GB2312" w:hAnsi="仿宋_GB2312" w:eastAsia="仿宋_GB2312" w:cs="仿宋_GB2312"/>
                <w:i w:val="0"/>
                <w:color w:val="auto"/>
                <w:kern w:val="0"/>
                <w:sz w:val="32"/>
                <w:szCs w:val="32"/>
                <w:highlight w:val="none"/>
                <w:u w:val="none"/>
                <w:lang w:val="en-US" w:eastAsia="zh-CN" w:bidi="ar"/>
              </w:rPr>
              <w:t>2</w:t>
            </w:r>
          </w:p>
        </w:tc>
        <w:tc>
          <w:tcPr>
            <w:tcW w:w="694" w:type="dxa"/>
            <w:shd w:val="clear" w:color="auto" w:fill="auto"/>
            <w:tcMar>
              <w:top w:w="0" w:type="dxa"/>
              <w:left w:w="108" w:type="dxa"/>
              <w:bottom w:w="0" w:type="dxa"/>
              <w:right w:w="108" w:type="dxa"/>
            </w:tcMar>
            <w:vAlign w:val="center"/>
          </w:tcPr>
          <w:p w14:paraId="45FDFD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lang w:val="en-US"/>
              </w:rPr>
            </w:pP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123</w:t>
            </w:r>
          </w:p>
        </w:tc>
        <w:tc>
          <w:tcPr>
            <w:tcW w:w="713" w:type="dxa"/>
            <w:shd w:val="clear" w:color="auto" w:fill="auto"/>
            <w:tcMar>
              <w:top w:w="0" w:type="dxa"/>
              <w:left w:w="108" w:type="dxa"/>
              <w:bottom w:w="0" w:type="dxa"/>
              <w:right w:w="108" w:type="dxa"/>
            </w:tcMar>
            <w:vAlign w:val="center"/>
          </w:tcPr>
          <w:p w14:paraId="03972A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none"/>
                <w:vertAlign w:val="baseline"/>
              </w:rPr>
            </w:pP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0</w:t>
            </w:r>
          </w:p>
        </w:tc>
        <w:tc>
          <w:tcPr>
            <w:tcW w:w="762" w:type="dxa"/>
            <w:shd w:val="clear" w:color="auto" w:fill="auto"/>
            <w:tcMar>
              <w:top w:w="0" w:type="dxa"/>
              <w:left w:w="108" w:type="dxa"/>
              <w:bottom w:w="0" w:type="dxa"/>
              <w:right w:w="108" w:type="dxa"/>
            </w:tcMar>
            <w:vAlign w:val="center"/>
          </w:tcPr>
          <w:p w14:paraId="5927B3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yellow"/>
                <w:vertAlign w:val="baseline"/>
                <w:lang w:val="en-US" w:eastAsia="zh-CN"/>
              </w:rPr>
            </w:pPr>
            <w:r>
              <w:rPr>
                <w:rFonts w:hint="eastAsia" w:ascii="仿宋_GB2312" w:hAnsi="仿宋_GB2312" w:eastAsia="仿宋_GB2312" w:cs="仿宋_GB2312"/>
                <w:i w:val="0"/>
                <w:color w:val="000000"/>
                <w:kern w:val="0"/>
                <w:sz w:val="32"/>
                <w:szCs w:val="32"/>
                <w:highlight w:val="none"/>
                <w:u w:val="none"/>
                <w:lang w:val="en-US" w:eastAsia="zh-CN" w:bidi="ar"/>
              </w:rPr>
              <w:t>2263</w:t>
            </w:r>
          </w:p>
        </w:tc>
        <w:tc>
          <w:tcPr>
            <w:tcW w:w="719" w:type="dxa"/>
            <w:shd w:val="clear" w:color="auto" w:fill="auto"/>
            <w:tcMar>
              <w:top w:w="0" w:type="dxa"/>
              <w:left w:w="108" w:type="dxa"/>
              <w:bottom w:w="0" w:type="dxa"/>
              <w:right w:w="108" w:type="dxa"/>
            </w:tcMar>
            <w:vAlign w:val="center"/>
          </w:tcPr>
          <w:p w14:paraId="43A048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0"/>
                <w:w w:val="100"/>
                <w:sz w:val="32"/>
                <w:szCs w:val="32"/>
                <w:highlight w:val="yellow"/>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87</w:t>
            </w:r>
          </w:p>
        </w:tc>
      </w:tr>
    </w:tbl>
    <w:p w14:paraId="418AABE4">
      <w:pPr>
        <w:pStyle w:val="3"/>
        <w:keepNext w:val="0"/>
        <w:keepLines w:val="0"/>
        <w:widowControl/>
        <w:suppressLineNumbers w:val="0"/>
        <w:spacing w:before="0" w:beforeAutospacing="0" w:after="0" w:afterAutospacing="0" w:line="578" w:lineRule="exact"/>
        <w:ind w:left="0" w:right="0" w:firstLine="419"/>
        <w:jc w:val="both"/>
        <w:rPr>
          <w:rFonts w:hint="eastAsia" w:ascii="黑体" w:hAnsi="黑体" w:eastAsia="黑体" w:cs="黑体"/>
          <w:sz w:val="32"/>
          <w:szCs w:val="32"/>
        </w:rPr>
      </w:pPr>
      <w:r>
        <w:rPr>
          <w:rFonts w:hint="eastAsia" w:ascii="黑体" w:hAnsi="黑体" w:eastAsia="黑体" w:cs="黑体"/>
          <w:b w:val="0"/>
          <w:bCs w:val="0"/>
          <w:i w:val="0"/>
          <w:iCs w:val="0"/>
          <w:color w:val="000000"/>
          <w:spacing w:val="0"/>
          <w:w w:val="100"/>
          <w:sz w:val="32"/>
          <w:szCs w:val="32"/>
          <w:vertAlign w:val="baseline"/>
        </w:rPr>
        <w:t>二、分布式光伏承载力受限提升措施</w:t>
      </w:r>
    </w:p>
    <w:p w14:paraId="66F8F711">
      <w:pPr>
        <w:pStyle w:val="3"/>
        <w:keepNext w:val="0"/>
        <w:keepLines w:val="0"/>
        <w:widowControl/>
        <w:numPr>
          <w:ilvl w:val="0"/>
          <w:numId w:val="0"/>
        </w:numPr>
        <w:suppressLineNumbers w:val="0"/>
        <w:spacing w:before="0" w:beforeAutospacing="0" w:after="0" w:afterAutospacing="0" w:line="578" w:lineRule="exact"/>
        <w:ind w:right="0" w:rightChars="0" w:firstLine="643" w:firstLineChars="200"/>
        <w:jc w:val="both"/>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lang w:val="en-US" w:eastAsia="zh-CN"/>
        </w:rPr>
        <w:t>一</w:t>
      </w:r>
      <w:r>
        <w:rPr>
          <w:rFonts w:hint="eastAsia" w:ascii="仿宋_GB2312" w:hAnsi="仿宋_GB2312" w:eastAsia="仿宋_GB2312" w:cs="仿宋_GB2312"/>
          <w:b/>
          <w:bCs/>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rPr>
        <w:t>电网侧提升措施</w:t>
      </w:r>
    </w:p>
    <w:p w14:paraId="3FD09B64">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vertAlign w:val="baseline"/>
          <w:lang w:val="en-US"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截至本季度，受限于“分布式电源不反送220千伏及以上电网”的要求，南安北部2座220千伏变电站新增分布式光伏受限，供区涵盖南安北部各乡镇。主要原因是这类供区均呈用电负荷不高、分布式电源接入量大的特点，在分布式电源出力大于用电负荷时段，存在分布式电源出力反送220千伏电网情况。</w:t>
      </w:r>
    </w:p>
    <w:p w14:paraId="168927C6">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vertAlign w:val="baseline"/>
          <w:lang w:val="en-US"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鉴于用电负荷发展以及负荷与出力时空优化是一项长期的社会工程，电网侧提升措施主要考虑从源荷比相对较低或电力需求量相对较大的区域，结合电网发展规划深度挖掘可开放容量：拟结合2028年新建南安220千伏省新输变电工程、</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2030年</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新建</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南安石林110</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千伏</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输变电工程</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等，将原南安220千伏时潮变受限供区内的金淘镇、蓬华镇以及康美镇部分区域改接入220千伏省新变等中部地区消纳，预计可新增开放容量1万千瓦。</w:t>
      </w:r>
    </w:p>
    <w:p w14:paraId="63894E5F">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vertAlign w:val="baseline"/>
          <w:lang w:val="en-US" w:eastAsia="zh-CN"/>
        </w:rPr>
      </w:pP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110千伏层面来看</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南安市无自身承载力不足受限设备。</w:t>
      </w:r>
    </w:p>
    <w:p w14:paraId="1A8E8743">
      <w:pPr>
        <w:pStyle w:val="3"/>
        <w:keepNext w:val="0"/>
        <w:keepLines w:val="0"/>
        <w:widowControl/>
        <w:suppressLineNumbers w:val="0"/>
        <w:spacing w:before="0" w:beforeAutospacing="0" w:after="0" w:afterAutospacing="0" w:line="578" w:lineRule="exact"/>
        <w:ind w:right="0" w:firstLine="600"/>
        <w:jc w:val="both"/>
        <w:rPr>
          <w:rFonts w:hint="default" w:ascii="仿宋_GB2312" w:hAnsi="仿宋_GB2312" w:eastAsia="仿宋_GB2312" w:cs="仿宋_GB2312"/>
          <w:b w:val="0"/>
          <w:bCs w:val="0"/>
          <w:i w:val="0"/>
          <w:iCs w:val="0"/>
          <w:color w:val="auto"/>
          <w:spacing w:val="0"/>
          <w:w w:val="100"/>
          <w:sz w:val="32"/>
          <w:szCs w:val="32"/>
          <w:vertAlign w:val="baseline"/>
          <w:lang w:val="en-US"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35千伏层面</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来看</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南安翔云变因存量分布式电源装机达1.5万千瓦较高，主变反向负载率较大导致新增接入受限，下一步将结合2026年泉州南安翔云二35千伏输变电工程提升翔云镇受限区域承载能力。</w:t>
      </w:r>
    </w:p>
    <w:p w14:paraId="62EC3748">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vertAlign w:val="baseline"/>
          <w:lang w:val="en-US"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10千伏公用馈线层面来看南安市无自身承载力不足受限设备。</w:t>
      </w:r>
    </w:p>
    <w:p w14:paraId="743EE32E">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vertAlign w:val="baseline"/>
          <w:lang w:val="en-US" w:eastAsia="zh-CN"/>
        </w:rPr>
      </w:pPr>
      <w:r>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t>10kV公用配变</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层面</w:t>
      </w:r>
      <w:r>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t>有</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87</w:t>
      </w:r>
      <w:r>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t>台</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配变因</w:t>
      </w:r>
      <w:r>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t>自身承载力不足导致新增接</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入受限</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，其中20台为电能质量不达标原因受限，</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目前均已</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完成治理</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措施</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梳理</w:t>
      </w:r>
      <w:r>
        <w:rPr>
          <w:rFonts w:hint="default"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拟通过电源包解决77台，通过电网基建（运维）项目解决10台，力争2026年12月前全量解决。</w:t>
      </w:r>
    </w:p>
    <w:p w14:paraId="0DF16C3F">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pPr>
    </w:p>
    <w:p w14:paraId="36536A93">
      <w:pPr>
        <w:pStyle w:val="3"/>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2"/>
          <w:szCs w:val="32"/>
          <w:highlight w:val="yellow"/>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59DEE"/>
    <w:multiLevelType w:val="singleLevel"/>
    <w:tmpl w:val="B2259DEE"/>
    <w:lvl w:ilvl="0" w:tentative="0">
      <w:start w:val="1"/>
      <w:numFmt w:val="decimal"/>
      <w:pStyle w:val="2"/>
      <w:suff w:val="space"/>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4A60"/>
    <w:rsid w:val="0161322F"/>
    <w:rsid w:val="021A405C"/>
    <w:rsid w:val="045E5120"/>
    <w:rsid w:val="04BE2D90"/>
    <w:rsid w:val="05FF5B4E"/>
    <w:rsid w:val="098D190A"/>
    <w:rsid w:val="0B8767A5"/>
    <w:rsid w:val="0C3C0150"/>
    <w:rsid w:val="0CB37C4D"/>
    <w:rsid w:val="0CB8797D"/>
    <w:rsid w:val="0FDB69B3"/>
    <w:rsid w:val="1020661F"/>
    <w:rsid w:val="10F67851"/>
    <w:rsid w:val="114464D9"/>
    <w:rsid w:val="11CB6AE2"/>
    <w:rsid w:val="1232551A"/>
    <w:rsid w:val="129E5668"/>
    <w:rsid w:val="13386835"/>
    <w:rsid w:val="14253B09"/>
    <w:rsid w:val="15F30371"/>
    <w:rsid w:val="16151AD7"/>
    <w:rsid w:val="17C31108"/>
    <w:rsid w:val="188D4054"/>
    <w:rsid w:val="18DD7A35"/>
    <w:rsid w:val="18FA1780"/>
    <w:rsid w:val="19451A67"/>
    <w:rsid w:val="196D150D"/>
    <w:rsid w:val="1A3C2456"/>
    <w:rsid w:val="1A9D50F1"/>
    <w:rsid w:val="1D2D3EED"/>
    <w:rsid w:val="1E1977BD"/>
    <w:rsid w:val="20816104"/>
    <w:rsid w:val="219C3A90"/>
    <w:rsid w:val="23100D55"/>
    <w:rsid w:val="239C70EB"/>
    <w:rsid w:val="23E74ADB"/>
    <w:rsid w:val="25796B67"/>
    <w:rsid w:val="25983BC4"/>
    <w:rsid w:val="27431FFA"/>
    <w:rsid w:val="2B801E63"/>
    <w:rsid w:val="2DEB2EDC"/>
    <w:rsid w:val="2EA07D0B"/>
    <w:rsid w:val="2F4A4F20"/>
    <w:rsid w:val="2F7C1360"/>
    <w:rsid w:val="31570FEE"/>
    <w:rsid w:val="316E2FA4"/>
    <w:rsid w:val="335B6626"/>
    <w:rsid w:val="335E6082"/>
    <w:rsid w:val="33916538"/>
    <w:rsid w:val="343B349B"/>
    <w:rsid w:val="343B7C3F"/>
    <w:rsid w:val="346731B9"/>
    <w:rsid w:val="34926946"/>
    <w:rsid w:val="3717386F"/>
    <w:rsid w:val="393F4054"/>
    <w:rsid w:val="3B0847B6"/>
    <w:rsid w:val="3CCE564F"/>
    <w:rsid w:val="3CEA5833"/>
    <w:rsid w:val="3DCC5BE1"/>
    <w:rsid w:val="3E625A65"/>
    <w:rsid w:val="3F544A30"/>
    <w:rsid w:val="3FE77F50"/>
    <w:rsid w:val="40593431"/>
    <w:rsid w:val="4389705D"/>
    <w:rsid w:val="43FF6C9B"/>
    <w:rsid w:val="445A427D"/>
    <w:rsid w:val="47A46F68"/>
    <w:rsid w:val="47EF2794"/>
    <w:rsid w:val="49901EC0"/>
    <w:rsid w:val="49CB70FE"/>
    <w:rsid w:val="4A506A7B"/>
    <w:rsid w:val="4B24258E"/>
    <w:rsid w:val="4C0E0B55"/>
    <w:rsid w:val="4E914171"/>
    <w:rsid w:val="4EB47879"/>
    <w:rsid w:val="4EB7785C"/>
    <w:rsid w:val="4F4A4C24"/>
    <w:rsid w:val="4F7F4214"/>
    <w:rsid w:val="50747472"/>
    <w:rsid w:val="50F55726"/>
    <w:rsid w:val="51524F85"/>
    <w:rsid w:val="527D0888"/>
    <w:rsid w:val="52FE034E"/>
    <w:rsid w:val="53586648"/>
    <w:rsid w:val="53CC6C4A"/>
    <w:rsid w:val="53D876CF"/>
    <w:rsid w:val="557A570A"/>
    <w:rsid w:val="55EF73F3"/>
    <w:rsid w:val="564E7F11"/>
    <w:rsid w:val="56AE22C2"/>
    <w:rsid w:val="57E41B27"/>
    <w:rsid w:val="58B211DA"/>
    <w:rsid w:val="5A8C7CC7"/>
    <w:rsid w:val="5B6C254A"/>
    <w:rsid w:val="5D1F50CC"/>
    <w:rsid w:val="5D5F4B66"/>
    <w:rsid w:val="5D73645E"/>
    <w:rsid w:val="5DB1482A"/>
    <w:rsid w:val="5FA03CE7"/>
    <w:rsid w:val="61923587"/>
    <w:rsid w:val="64AD05EB"/>
    <w:rsid w:val="68223466"/>
    <w:rsid w:val="6A2555DE"/>
    <w:rsid w:val="6CF14127"/>
    <w:rsid w:val="6D9D1B9B"/>
    <w:rsid w:val="6E4677B5"/>
    <w:rsid w:val="6EE62B00"/>
    <w:rsid w:val="6F832813"/>
    <w:rsid w:val="706B15E0"/>
    <w:rsid w:val="71DB4BC5"/>
    <w:rsid w:val="736D5E10"/>
    <w:rsid w:val="746C62C2"/>
    <w:rsid w:val="754D4811"/>
    <w:rsid w:val="75501526"/>
    <w:rsid w:val="75FD628C"/>
    <w:rsid w:val="78B832D7"/>
    <w:rsid w:val="7C153320"/>
    <w:rsid w:val="7D480C4B"/>
    <w:rsid w:val="7E7F0504"/>
    <w:rsid w:val="7EEB5047"/>
    <w:rsid w:val="7F5D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numPr>
        <w:ilvl w:val="0"/>
        <w:numId w:val="1"/>
      </w:numPr>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1017</Words>
  <Characters>1127</Characters>
  <Lines>0</Lines>
  <Paragraphs>0</Paragraphs>
  <TotalTime>3</TotalTime>
  <ScaleCrop>false</ScaleCrop>
  <LinksUpToDate>false</LinksUpToDate>
  <CharactersWithSpaces>1131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2025-03-21T09:26:00Z</dcterms:created>
  <dc:creator>Administrator</dc:creator>
  <cp:lastModifiedBy>Let it Go</cp:lastModifiedBy>
  <dcterms:modified xsi:type="dcterms:W3CDTF">2025-10-16T02:31:49Z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eyJoZGlkIjoiY2FiMzg2YmYzMTY3MmQwZThjODA5YzM4MWFkMWVjZWUiLCJ1c2VySWQiOiIzMDE5NDE1NjgifQ==</vt:lpwstr>
  </property>
  <property fmtid="{D5CDD505-2E9C-101B-9397-08002B2CF9AE}" pid="4" name="ICV">
    <vt:lpwstr>1E49A2B88CB74F4EBA0E5C141151F82E</vt:lpwstr>
  </property>
</Properties>
</file>