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</w:t>
      </w:r>
    </w:p>
    <w:p>
      <w:pPr>
        <w:spacing w:line="360" w:lineRule="auto"/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南安市科教中心桑林片区</w:t>
      </w:r>
    </w:p>
    <w:p>
      <w:pPr>
        <w:spacing w:line="360" w:lineRule="auto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土地征收成片开发方案</w:t>
      </w: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南安市人民政府</w:t>
      </w:r>
    </w:p>
    <w:p>
      <w:pPr>
        <w:pStyle w:val="2"/>
        <w:rPr>
          <w:rFonts w:ascii="黑体" w:hAnsi="黑体" w:eastAsia="黑体"/>
          <w:b/>
          <w:sz w:val="44"/>
          <w:szCs w:val="44"/>
        </w:rPr>
      </w:pPr>
    </w:p>
    <w:p>
      <w:pPr/>
    </w:p>
    <w:p>
      <w:pPr>
        <w:spacing w:line="360" w:lineRule="auto"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南安市科教中心桑林片区</w:t>
      </w:r>
    </w:p>
    <w:p>
      <w:pPr>
        <w:spacing w:line="360" w:lineRule="auto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土地征收成片开发方案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一、基本情况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本方案东至学园中路，西至西溪外东侧，南至桑林村、南安新市医院，北至南安一中新校区，涉及南安市柳城街道桑林村、霞东村、霞西村，共1个街道3个村；涉及1个国有单位，不涉及省级和国家级开发区。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经过实地勘测调查，本方案成片开发范围总面积20.8243公顷。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二、必要性和科学合理性分析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本片区系南安市“城市公共中心”的重要组成部分，规划打造作为南安市科教中心的重要核心，通过完善区域交通路网及公共服务设施配套，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提升片区居民生活质量，打造高品质居住区，满足居民对美好生活意愿和良好居住环境的需求。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三、主要用途和实现功能分析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方案用地总面积20.8243公顷，主要用途为居住用地。其中，居住用地主要为城镇住宅用地，面积共为11.4941公顷，占比55.20%，实现居住功能使用；公共管理与公共服务用地主要为教育用地，面积共为3.0537公顷，占比14.66%，完善教育配套服务功能；交通运输用地主要为城镇村道路用地，面积共为5.4517公顷，占比26.18%，完善城市道路建设功能；绿地与开敞空间用地主要为防护绿地，面积为0.8248公顷，占比3.96%，提供休闲、游憩、卫生、隔离、安全、生态防护等功能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四、公益性用地比例分析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公益性用地包括城镇村道路用地、教育用地和防护绿地，面积合计为9.3302公顷，占用地总面积的44.80%，符合自然资规〔2023〕7号公益性用地占比一般不低于40%的规定。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五、实施计划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方案用地总面积20.8243公顷，其中涉及已实施面积6.1163公顷，故拟安排实施项目面积14.7080公顷，计划实施周期为批复后第一年至第三年，3年内实施完毕。批复后第一年实施面积3.6058公顷、完成比例24.52%；批复后第二年实施面积2.2451公顷、完成比例15.26%；批复后第三年实施面积8.8571公顷、完成比例60.22%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六、合规性分析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本方案已位于城镇开发边界的集中建设区，南安市人民政府已将成片开发方案纳入正在编制规划期至2035年的国土空间规划及“一张图”。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本方案符合南安市第十四个国民经济和社会发展五年规划，已纳入南安市2024年度国民经济和社会发展计划。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本方案不涉及占用永久基本农田、生态保护红线等其他法律法规规定不允许占用或开发的情形。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七、效益评估</w:t>
      </w:r>
    </w:p>
    <w:p>
      <w:pPr>
        <w:spacing w:line="560" w:lineRule="exact"/>
        <w:ind w:firstLine="643" w:firstLineChars="200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1、土地利用效益评估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方案地块建设满足片区发展定位，采用土地复合利用方式，拟实施范围内城镇住宅用地的容积率控制在2.0-3.0，建筑密度控制在20%-35%，绿地率控制在30%以上，有利于土地的集约利用，提高土地利用效益。</w:t>
      </w:r>
    </w:p>
    <w:p>
      <w:pPr>
        <w:spacing w:line="600" w:lineRule="exact"/>
        <w:ind w:firstLine="643" w:firstLineChars="200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2、经济效益评估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本方案除可带动房地产等固定资产投资外，预测可为当地财政带来约1.5亿元的税收收益。</w:t>
      </w:r>
    </w:p>
    <w:p>
      <w:pPr>
        <w:spacing w:line="560" w:lineRule="exact"/>
        <w:ind w:firstLine="643" w:firstLineChars="200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3、社会效益评估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本方案片区建成后，住宅区预计可容纳约7000人，带动就业人口1500 人，提高居民收入，有利于解决当地就业问题，增强群众的获得感和幸福感。</w:t>
      </w:r>
    </w:p>
    <w:p>
      <w:pPr>
        <w:spacing w:line="560" w:lineRule="exact"/>
        <w:ind w:firstLine="643" w:firstLineChars="200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4、生态效益评估</w:t>
      </w:r>
    </w:p>
    <w:p>
      <w:pPr>
        <w:spacing w:line="56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本方案绿地与开敞空间用地面积0.8248公顷，有效地提高绿化质量，作为周边居民和村民休闲、游憩的公共空间，也是海绵城市的实施空间，美化城市环境。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八、结论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土地征收成片开发方案符合南安市国民经济和社会发展规划、专项规划，已位于城镇开发边界的集中建设区内，已纳入南安市2024年度国民经济和社会发展计划，符合部省规定的标准，做到了保护耕地、维护农民合法权益、节约集约用地、保护生态环境，能够促进南安市经济社会可持续发展。</w:t>
      </w:r>
    </w:p>
    <w:p>
      <w:pPr/>
      <w:r>
        <w:rPr>
          <w:rFonts w:hint="eastAsia"/>
        </w:rPr>
        <w:drawing>
          <wp:inline distT="0" distB="0" distL="114300" distR="114300">
            <wp:extent cx="5270500" cy="3729990"/>
            <wp:effectExtent l="0" t="0" r="635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134" cy="373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ZmNzYyNTM3MTMyMDA0YzQxMGNiMDM5OTljMGNjMWMifQ=="/>
  </w:docVars>
  <w:rsids>
    <w:rsidRoot w:val="00947543"/>
    <w:rsid w:val="00015640"/>
    <w:rsid w:val="000320F3"/>
    <w:rsid w:val="00033D7D"/>
    <w:rsid w:val="00043DB2"/>
    <w:rsid w:val="00050910"/>
    <w:rsid w:val="00060FBF"/>
    <w:rsid w:val="000774AC"/>
    <w:rsid w:val="0008110A"/>
    <w:rsid w:val="00090E43"/>
    <w:rsid w:val="000B1F17"/>
    <w:rsid w:val="000C66AB"/>
    <w:rsid w:val="000F5802"/>
    <w:rsid w:val="00101B97"/>
    <w:rsid w:val="001350D3"/>
    <w:rsid w:val="001352E6"/>
    <w:rsid w:val="0016649A"/>
    <w:rsid w:val="00183D13"/>
    <w:rsid w:val="00185364"/>
    <w:rsid w:val="001C15B0"/>
    <w:rsid w:val="001C2778"/>
    <w:rsid w:val="002232CC"/>
    <w:rsid w:val="00250F47"/>
    <w:rsid w:val="00273856"/>
    <w:rsid w:val="00293642"/>
    <w:rsid w:val="0029434B"/>
    <w:rsid w:val="002A6B0E"/>
    <w:rsid w:val="002A71AE"/>
    <w:rsid w:val="002A776A"/>
    <w:rsid w:val="002B1EC0"/>
    <w:rsid w:val="002F7DC0"/>
    <w:rsid w:val="00305567"/>
    <w:rsid w:val="003154BD"/>
    <w:rsid w:val="003249E5"/>
    <w:rsid w:val="00336551"/>
    <w:rsid w:val="00356494"/>
    <w:rsid w:val="003A003C"/>
    <w:rsid w:val="003A0239"/>
    <w:rsid w:val="003B0B33"/>
    <w:rsid w:val="003F5F25"/>
    <w:rsid w:val="00411D00"/>
    <w:rsid w:val="004126E7"/>
    <w:rsid w:val="00443094"/>
    <w:rsid w:val="00446550"/>
    <w:rsid w:val="00457B6C"/>
    <w:rsid w:val="004A1FD2"/>
    <w:rsid w:val="004B2C66"/>
    <w:rsid w:val="004B33D8"/>
    <w:rsid w:val="00511A1A"/>
    <w:rsid w:val="00545122"/>
    <w:rsid w:val="00554768"/>
    <w:rsid w:val="00572441"/>
    <w:rsid w:val="00592507"/>
    <w:rsid w:val="00597422"/>
    <w:rsid w:val="005C0EF9"/>
    <w:rsid w:val="006208AD"/>
    <w:rsid w:val="00626F28"/>
    <w:rsid w:val="00634962"/>
    <w:rsid w:val="0065092D"/>
    <w:rsid w:val="00692702"/>
    <w:rsid w:val="00693942"/>
    <w:rsid w:val="006C1D06"/>
    <w:rsid w:val="006C7047"/>
    <w:rsid w:val="006D53DF"/>
    <w:rsid w:val="006F1A33"/>
    <w:rsid w:val="00704765"/>
    <w:rsid w:val="00712661"/>
    <w:rsid w:val="00720D21"/>
    <w:rsid w:val="00750F37"/>
    <w:rsid w:val="00756659"/>
    <w:rsid w:val="0076333F"/>
    <w:rsid w:val="007761C3"/>
    <w:rsid w:val="007852CB"/>
    <w:rsid w:val="007C170A"/>
    <w:rsid w:val="007D3762"/>
    <w:rsid w:val="008138C2"/>
    <w:rsid w:val="00844A94"/>
    <w:rsid w:val="00892A2A"/>
    <w:rsid w:val="008B2B2E"/>
    <w:rsid w:val="00901C63"/>
    <w:rsid w:val="0091628A"/>
    <w:rsid w:val="00924DE0"/>
    <w:rsid w:val="00932296"/>
    <w:rsid w:val="00947543"/>
    <w:rsid w:val="00952018"/>
    <w:rsid w:val="009804D4"/>
    <w:rsid w:val="009B2DBE"/>
    <w:rsid w:val="009B61FB"/>
    <w:rsid w:val="009C4218"/>
    <w:rsid w:val="009D6CC9"/>
    <w:rsid w:val="00A253F5"/>
    <w:rsid w:val="00A333D6"/>
    <w:rsid w:val="00A47269"/>
    <w:rsid w:val="00A90336"/>
    <w:rsid w:val="00AD3ED5"/>
    <w:rsid w:val="00AE5B35"/>
    <w:rsid w:val="00AF4954"/>
    <w:rsid w:val="00AF7C6B"/>
    <w:rsid w:val="00B026EE"/>
    <w:rsid w:val="00B20E85"/>
    <w:rsid w:val="00B8124C"/>
    <w:rsid w:val="00B820E5"/>
    <w:rsid w:val="00B94CAA"/>
    <w:rsid w:val="00BA2BB8"/>
    <w:rsid w:val="00BB5D57"/>
    <w:rsid w:val="00BC665F"/>
    <w:rsid w:val="00BE7432"/>
    <w:rsid w:val="00C8617B"/>
    <w:rsid w:val="00C96752"/>
    <w:rsid w:val="00CB3BEC"/>
    <w:rsid w:val="00CB5077"/>
    <w:rsid w:val="00CE2F77"/>
    <w:rsid w:val="00CE33C0"/>
    <w:rsid w:val="00CF6AAB"/>
    <w:rsid w:val="00CF767C"/>
    <w:rsid w:val="00D020D0"/>
    <w:rsid w:val="00D24FD4"/>
    <w:rsid w:val="00D3223E"/>
    <w:rsid w:val="00D37969"/>
    <w:rsid w:val="00D647F6"/>
    <w:rsid w:val="00DA3705"/>
    <w:rsid w:val="00E42C90"/>
    <w:rsid w:val="00EA4264"/>
    <w:rsid w:val="00EB1F24"/>
    <w:rsid w:val="00EB5931"/>
    <w:rsid w:val="00ED59FC"/>
    <w:rsid w:val="00EE6C28"/>
    <w:rsid w:val="00F02DB4"/>
    <w:rsid w:val="00F30745"/>
    <w:rsid w:val="00F32D99"/>
    <w:rsid w:val="00F45790"/>
    <w:rsid w:val="00F61AC7"/>
    <w:rsid w:val="00F7409A"/>
    <w:rsid w:val="00FC1C15"/>
    <w:rsid w:val="00FD712E"/>
    <w:rsid w:val="014852B3"/>
    <w:rsid w:val="0230709F"/>
    <w:rsid w:val="02B81FC4"/>
    <w:rsid w:val="03B94246"/>
    <w:rsid w:val="04A86794"/>
    <w:rsid w:val="07A50D69"/>
    <w:rsid w:val="083C56C9"/>
    <w:rsid w:val="09B355A2"/>
    <w:rsid w:val="0A2763AD"/>
    <w:rsid w:val="0AA7129C"/>
    <w:rsid w:val="0B8D66E4"/>
    <w:rsid w:val="0E5475A8"/>
    <w:rsid w:val="0F34215A"/>
    <w:rsid w:val="0F821271"/>
    <w:rsid w:val="10260C26"/>
    <w:rsid w:val="12B72298"/>
    <w:rsid w:val="13DA623E"/>
    <w:rsid w:val="13F5187B"/>
    <w:rsid w:val="16500162"/>
    <w:rsid w:val="178D1D7E"/>
    <w:rsid w:val="1844637C"/>
    <w:rsid w:val="189015C1"/>
    <w:rsid w:val="19EE2A43"/>
    <w:rsid w:val="1A6912CA"/>
    <w:rsid w:val="1BBC5516"/>
    <w:rsid w:val="1E367A42"/>
    <w:rsid w:val="1FB46444"/>
    <w:rsid w:val="22107920"/>
    <w:rsid w:val="241B1113"/>
    <w:rsid w:val="241F2DEA"/>
    <w:rsid w:val="248D61F1"/>
    <w:rsid w:val="249A7467"/>
    <w:rsid w:val="24AE3BF5"/>
    <w:rsid w:val="25D56865"/>
    <w:rsid w:val="264039CE"/>
    <w:rsid w:val="28A303EF"/>
    <w:rsid w:val="28BD6C68"/>
    <w:rsid w:val="2A391AB9"/>
    <w:rsid w:val="2C72311F"/>
    <w:rsid w:val="30F57DBC"/>
    <w:rsid w:val="359202CF"/>
    <w:rsid w:val="39473E9F"/>
    <w:rsid w:val="39717F04"/>
    <w:rsid w:val="3C5E53AF"/>
    <w:rsid w:val="42725710"/>
    <w:rsid w:val="44ED72D0"/>
    <w:rsid w:val="45763769"/>
    <w:rsid w:val="45A006B2"/>
    <w:rsid w:val="475950F1"/>
    <w:rsid w:val="47D9504D"/>
    <w:rsid w:val="49492F43"/>
    <w:rsid w:val="4C5B62D5"/>
    <w:rsid w:val="4CC4300C"/>
    <w:rsid w:val="4D493511"/>
    <w:rsid w:val="4E085384"/>
    <w:rsid w:val="4EA94F22"/>
    <w:rsid w:val="50B25872"/>
    <w:rsid w:val="521F1420"/>
    <w:rsid w:val="52397FF8"/>
    <w:rsid w:val="5252412C"/>
    <w:rsid w:val="54CA5D3B"/>
    <w:rsid w:val="5533750C"/>
    <w:rsid w:val="55C776C9"/>
    <w:rsid w:val="5736001F"/>
    <w:rsid w:val="574B60D8"/>
    <w:rsid w:val="59374B66"/>
    <w:rsid w:val="59934492"/>
    <w:rsid w:val="5A427C66"/>
    <w:rsid w:val="5AB52A67"/>
    <w:rsid w:val="5DD576E5"/>
    <w:rsid w:val="5E8936EE"/>
    <w:rsid w:val="60163727"/>
    <w:rsid w:val="62A019CE"/>
    <w:rsid w:val="62F810E9"/>
    <w:rsid w:val="632717A7"/>
    <w:rsid w:val="656C30C7"/>
    <w:rsid w:val="67B821E9"/>
    <w:rsid w:val="69801C11"/>
    <w:rsid w:val="69EA3F01"/>
    <w:rsid w:val="6C371F4F"/>
    <w:rsid w:val="6D202379"/>
    <w:rsid w:val="6E8403F6"/>
    <w:rsid w:val="6FCE1DB7"/>
    <w:rsid w:val="72FC67AC"/>
    <w:rsid w:val="73EA0CFB"/>
    <w:rsid w:val="750C6A4F"/>
    <w:rsid w:val="75A81026"/>
    <w:rsid w:val="75E654AB"/>
    <w:rsid w:val="7BF81ADB"/>
    <w:rsid w:val="7C372603"/>
    <w:rsid w:val="7EDE320A"/>
    <w:rsid w:val="7F0215EE"/>
    <w:rsid w:val="7F5479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link w:val="15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2">
    <w:name w:val="heading 4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280" w:after="290" w:line="376" w:lineRule="atLeast"/>
      <w:textAlignment w:val="baseline"/>
      <w:outlineLvl w:val="3"/>
    </w:pPr>
    <w:rPr>
      <w:rFonts w:ascii="Arial" w:hAnsi="Arial" w:eastAsia="黑体"/>
      <w:b/>
      <w:kern w:val="0"/>
      <w:sz w:val="30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字符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7"/>
    <w:qFormat/>
    <w:uiPriority w:val="99"/>
    <w:rPr>
      <w:sz w:val="18"/>
      <w:szCs w:val="18"/>
    </w:rPr>
  </w:style>
  <w:style w:type="character" w:customStyle="1" w:styleId="15">
    <w:name w:val="标题 3 字符"/>
    <w:basedOn w:val="10"/>
    <w:link w:val="4"/>
    <w:qFormat/>
    <w:uiPriority w:val="0"/>
    <w:rPr>
      <w:b/>
      <w:bCs/>
      <w:sz w:val="32"/>
      <w:szCs w:val="32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字符"/>
    <w:basedOn w:val="10"/>
    <w:link w:val="5"/>
    <w:semiHidden/>
    <w:qFormat/>
    <w:uiPriority w:val="99"/>
  </w:style>
  <w:style w:type="character" w:customStyle="1" w:styleId="18">
    <w:name w:val="fontstyle01"/>
    <w:basedOn w:val="10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9">
    <w:name w:val="fontstyle21"/>
    <w:basedOn w:val="10"/>
    <w:qFormat/>
    <w:uiPriority w:val="0"/>
    <w:rPr>
      <w:rFonts w:hint="default" w:ascii="Times New Roman" w:hAnsi="Times New Roman" w:cs="Times New Roman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XH</Company>
  <Pages>5</Pages>
  <Words>222</Words>
  <Characters>1272</Characters>
  <Lines>10</Lines>
  <Paragraphs>2</Paragraphs>
  <TotalTime>0</TotalTime>
  <ScaleCrop>false</ScaleCrop>
  <LinksUpToDate>false</LinksUpToDate>
  <CharactersWithSpaces>1492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2024-03-11T09:18:00Z</dcterms:created>
  <dc:creator>Administrator</dc:creator>
  <cp:lastModifiedBy>Administrator</cp:lastModifiedBy>
  <cp:lastPrinted>2023-05-18T07:50:00Z</cp:lastPrinted>
  <dcterms:modified xsi:type="dcterms:W3CDTF">2024-03-21T07:43:39Z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  <property fmtid="{D5CDD505-2E9C-101B-9397-08002B2CF9AE}" pid="3" name="ICV">
    <vt:lpwstr>600067612A334FC19161DD51BA3ECB7B_13</vt:lpwstr>
  </property>
</Properties>
</file>