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312" w:afterLines="100" w:line="440" w:lineRule="exact"/>
        <w:jc w:val="center"/>
        <w:rPr>
          <w:rFonts w:ascii="Calibri" w:hAnsi="Calibri" w:eastAsia="宋体" w:cs="Times New Roman"/>
          <w:b/>
          <w:color w:val="000000"/>
          <w:sz w:val="44"/>
          <w:szCs w:val="44"/>
        </w:rPr>
      </w:pPr>
      <w:r>
        <w:rPr>
          <w:rFonts w:hint="eastAsia" w:ascii="Calibri" w:hAnsi="Calibri" w:eastAsia="宋体" w:cs="Times New Roman"/>
          <w:b/>
          <w:color w:val="000000"/>
          <w:sz w:val="44"/>
          <w:szCs w:val="44"/>
        </w:rPr>
        <w:t>关于《南安市东田镇丰山村村庄规划》公示</w:t>
      </w:r>
    </w:p>
    <w:p>
      <w:pPr>
        <w:spacing w:after="312" w:afterLines="100" w:line="440" w:lineRule="exact"/>
        <w:jc w:val="center"/>
        <w:rPr>
          <w:rFonts w:ascii="Calibri" w:hAnsi="Calibri" w:eastAsia="宋体" w:cs="Times New Roman"/>
          <w:b/>
          <w:color w:val="000000"/>
          <w:sz w:val="44"/>
          <w:szCs w:val="44"/>
        </w:rPr>
      </w:pP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《南安市东田镇丰山村村庄规划（2021-2035）》于2021年</w:t>
      </w:r>
      <w:r>
        <w:rPr>
          <w:rStyle w:val="8"/>
          <w:rFonts w:asciiTheme="minorEastAsia" w:hAnsiTheme="minorEastAsia"/>
          <w:b w:val="0"/>
          <w:sz w:val="28"/>
          <w:szCs w:val="28"/>
        </w:rPr>
        <w:t>9</w:t>
      </w:r>
      <w:r>
        <w:rPr>
          <w:rStyle w:val="8"/>
          <w:rFonts w:hint="eastAsia" w:asciiTheme="minorEastAsia" w:hAnsiTheme="minorEastAsia"/>
          <w:b w:val="0"/>
          <w:sz w:val="28"/>
          <w:szCs w:val="28"/>
        </w:rPr>
        <w:t>月</w:t>
      </w:r>
      <w:r>
        <w:rPr>
          <w:rStyle w:val="8"/>
          <w:rFonts w:asciiTheme="minorEastAsia" w:hAnsiTheme="minorEastAsia"/>
          <w:b w:val="0"/>
          <w:sz w:val="28"/>
          <w:szCs w:val="28"/>
        </w:rPr>
        <w:t>9</w:t>
      </w:r>
      <w:r>
        <w:rPr>
          <w:rStyle w:val="8"/>
          <w:rFonts w:hint="eastAsia" w:asciiTheme="minorEastAsia" w:hAnsiTheme="minorEastAsia"/>
          <w:b w:val="0"/>
          <w:sz w:val="28"/>
          <w:szCs w:val="28"/>
        </w:rPr>
        <w:t>日经专家评审通过。现依据《中华人民共和国城乡规划法》《中华人民共和国行政许可法》等相关法律法规进行批前公示，并征求社会公众意见。广大市民可通过公告栏查询《南安市东田镇丰山村村庄规划（2021-2035）》有关内容（可直接到东田镇人民政府查询），并可通过电话、电子邮件、信函、书面意见等方式提出意见和建议，以进一步完善、优化规划（书面建议或意见可直接送到东田镇人民政府或传至邮箱nadthb@163.com，书面建议或意见请附上联系电话)。公示结束后，我镇将根据公示反馈意见进一步修改完善，形成最终报批成果，按规定上报市人民政府审批。</w:t>
      </w:r>
    </w:p>
    <w:p>
      <w:pPr>
        <w:adjustRightInd w:val="0"/>
        <w:snapToGrid w:val="0"/>
        <w:spacing w:beforeLines="50" w:afterLines="50" w:line="360" w:lineRule="auto"/>
        <w:ind w:firstLine="560" w:firstLineChars="200"/>
        <w:rPr>
          <w:rStyle w:val="8"/>
          <w:rFonts w:hint="eastAsia"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一、公示时间</w:t>
      </w:r>
    </w:p>
    <w:p>
      <w:pPr>
        <w:adjustRightInd w:val="0"/>
        <w:snapToGrid w:val="0"/>
        <w:spacing w:beforeLines="50" w:afterLines="50" w:line="360" w:lineRule="auto"/>
        <w:ind w:firstLine="560" w:firstLineChars="200"/>
        <w:rPr>
          <w:rStyle w:val="8"/>
          <w:rFonts w:hint="eastAsia"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2021年</w:t>
      </w:r>
      <w:r>
        <w:rPr>
          <w:rStyle w:val="8"/>
          <w:rFonts w:hint="eastAsia" w:asciiTheme="minorEastAsia" w:hAnsiTheme="minorEastAsia"/>
          <w:b w:val="0"/>
          <w:sz w:val="28"/>
          <w:szCs w:val="28"/>
          <w:lang w:val="en-US" w:eastAsia="zh-CN"/>
        </w:rPr>
        <w:t>9</w:t>
      </w:r>
      <w:r>
        <w:rPr>
          <w:rStyle w:val="8"/>
          <w:rFonts w:hint="eastAsia" w:asciiTheme="minorEastAsia" w:hAnsiTheme="minorEastAsia"/>
          <w:b w:val="0"/>
          <w:sz w:val="28"/>
          <w:szCs w:val="28"/>
        </w:rPr>
        <w:t>月</w:t>
      </w:r>
      <w:r>
        <w:rPr>
          <w:rStyle w:val="8"/>
          <w:rFonts w:hint="eastAsia" w:asciiTheme="minorEastAsia" w:hAnsiTheme="minorEastAsia"/>
          <w:b w:val="0"/>
          <w:sz w:val="28"/>
          <w:szCs w:val="28"/>
          <w:lang w:val="en-US" w:eastAsia="zh-CN"/>
        </w:rPr>
        <w:t>22</w:t>
      </w:r>
      <w:r>
        <w:rPr>
          <w:rStyle w:val="8"/>
          <w:rFonts w:hint="eastAsia" w:asciiTheme="minorEastAsia" w:hAnsiTheme="minorEastAsia"/>
          <w:b w:val="0"/>
          <w:sz w:val="28"/>
          <w:szCs w:val="28"/>
        </w:rPr>
        <w:t>日-2021年</w:t>
      </w:r>
      <w:r>
        <w:rPr>
          <w:rStyle w:val="8"/>
          <w:rFonts w:hint="eastAsia" w:asciiTheme="minorEastAsia" w:hAnsiTheme="minorEastAsia"/>
          <w:b w:val="0"/>
          <w:sz w:val="28"/>
          <w:szCs w:val="28"/>
          <w:lang w:val="en-US" w:eastAsia="zh-CN"/>
        </w:rPr>
        <w:t>10</w:t>
      </w:r>
      <w:r>
        <w:rPr>
          <w:rStyle w:val="8"/>
          <w:rFonts w:hint="eastAsia" w:asciiTheme="minorEastAsia" w:hAnsiTheme="minorEastAsia"/>
          <w:b w:val="0"/>
          <w:sz w:val="28"/>
          <w:szCs w:val="28"/>
        </w:rPr>
        <w:t>月</w:t>
      </w:r>
      <w:r>
        <w:rPr>
          <w:rStyle w:val="8"/>
          <w:rFonts w:hint="eastAsia" w:asciiTheme="minorEastAsia" w:hAnsiTheme="minorEastAsia"/>
          <w:b w:val="0"/>
          <w:sz w:val="28"/>
          <w:szCs w:val="28"/>
          <w:lang w:val="en-US" w:eastAsia="zh-CN"/>
        </w:rPr>
        <w:t>21</w:t>
      </w:r>
      <w:r>
        <w:rPr>
          <w:rStyle w:val="8"/>
          <w:rFonts w:hint="eastAsia" w:asciiTheme="minorEastAsia" w:hAnsiTheme="minorEastAsia"/>
          <w:b w:val="0"/>
          <w:sz w:val="28"/>
          <w:szCs w:val="28"/>
        </w:rPr>
        <w:t>日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二、公示内容及公示位置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（一）公告内容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《南安市东田镇丰山村村庄规划（2021-2035）》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（二）公示位置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东田镇人民政府公告栏及项目所在地周边。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（三）网上公示网址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南安市人民政府门户网站www.nanan.gov.cn/。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三、意见和建议反馈方式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 xml:space="preserve">联系人：黄辉达           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 xml:space="preserve">联系电话：0595-86210068 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电子信箱：nadthb@163.com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地址：东田镇人民政府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特此公示。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jc w:val="right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 xml:space="preserve">东田镇人民政府 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jc w:val="right"/>
        <w:rPr>
          <w:rStyle w:val="8"/>
          <w:rFonts w:hint="eastAsia"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　　　　　</w:t>
      </w:r>
      <w:r>
        <w:rPr>
          <w:rStyle w:val="8"/>
          <w:rFonts w:hint="eastAsia" w:asciiTheme="minorEastAsia" w:hAnsiTheme="minorEastAsia"/>
          <w:b w:val="0"/>
          <w:color w:val="FF0000"/>
          <w:sz w:val="28"/>
          <w:szCs w:val="28"/>
        </w:rPr>
        <w:t>　</w:t>
      </w:r>
      <w:r>
        <w:rPr>
          <w:rStyle w:val="8"/>
          <w:rFonts w:hint="eastAsia" w:asciiTheme="minorEastAsia" w:hAnsiTheme="minorEastAsia"/>
          <w:b w:val="0"/>
          <w:sz w:val="28"/>
          <w:szCs w:val="28"/>
        </w:rPr>
        <w:t>2021年</w:t>
      </w:r>
      <w:r>
        <w:rPr>
          <w:rStyle w:val="8"/>
          <w:rFonts w:hint="eastAsia" w:asciiTheme="minorEastAsia" w:hAnsiTheme="minorEastAsia"/>
          <w:b w:val="0"/>
          <w:sz w:val="28"/>
          <w:szCs w:val="28"/>
          <w:lang w:val="en-US" w:eastAsia="zh-CN"/>
        </w:rPr>
        <w:t>9</w:t>
      </w:r>
      <w:r>
        <w:rPr>
          <w:rStyle w:val="8"/>
          <w:rFonts w:hint="eastAsia" w:asciiTheme="minorEastAsia" w:hAnsiTheme="minorEastAsia"/>
          <w:b w:val="0"/>
          <w:sz w:val="28"/>
          <w:szCs w:val="28"/>
        </w:rPr>
        <w:t>月</w:t>
      </w:r>
      <w:r>
        <w:rPr>
          <w:rStyle w:val="8"/>
          <w:rFonts w:hint="eastAsia" w:asciiTheme="minorEastAsia" w:hAnsiTheme="minorEastAsia"/>
          <w:b w:val="0"/>
          <w:sz w:val="28"/>
          <w:szCs w:val="28"/>
          <w:lang w:val="en-US" w:eastAsia="zh-CN"/>
        </w:rPr>
        <w:t>22</w:t>
      </w:r>
      <w:r>
        <w:rPr>
          <w:rStyle w:val="8"/>
          <w:rFonts w:hint="eastAsia" w:asciiTheme="minorEastAsia" w:hAnsiTheme="minorEastAsia"/>
          <w:b w:val="0"/>
          <w:sz w:val="28"/>
          <w:szCs w:val="28"/>
        </w:rPr>
        <w:t xml:space="preserve">日 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</w:p>
    <w:p>
      <w:pPr>
        <w:adjustRightInd w:val="0"/>
        <w:snapToGrid w:val="0"/>
        <w:spacing w:before="156" w:beforeLines="50" w:after="156" w:afterLines="50" w:line="360" w:lineRule="auto"/>
        <w:ind w:firstLine="723" w:firstLineChars="200"/>
        <w:jc w:val="center"/>
        <w:rPr>
          <w:rStyle w:val="8"/>
          <w:rFonts w:asciiTheme="minorEastAsia" w:hAnsiTheme="minorEastAsia"/>
          <w:sz w:val="36"/>
          <w:szCs w:val="36"/>
        </w:rPr>
      </w:pPr>
      <w:r>
        <w:rPr>
          <w:rStyle w:val="8"/>
          <w:rFonts w:hint="eastAsia" w:asciiTheme="minorEastAsia" w:hAnsiTheme="minorEastAsia"/>
          <w:sz w:val="36"/>
          <w:szCs w:val="36"/>
        </w:rPr>
        <w:t>南安市东田镇丰山村村庄规划规划说明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一、规划名称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《南安市东田镇丰山村村庄规划（2021-2035年）》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二、公告类型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规划公示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三、规划地点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南安市东田镇丰山村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四、规划范围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本次规划范围即丰山村行政管辖范围为界。辖内现有15个自然村共15个村民小组，分别为上欧、格柄、室内、寮仔、大岸、清潭、后洋、大行、后壁畲、半山、山兜、石皮内、竹林脚、茶林、山南坪、湖内、枋厝、下厝等，规划面积为850.05公顷。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五、规划期限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现状基期年为：2021年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规划期限为：2021-2035年；近期为：2021-2025年；远期为：2026-2035年。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六、规划人口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hint="eastAsia"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 xml:space="preserve">规划近期3650人，远期3800人，规划人居户数按照3.4人/户，远期居民点户数为1120户。 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七、规划定位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东田镇西部，以农业发展为主导并依托自然环境优势，发展乡村生态体验游的生态型田园村庄。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八、产业布局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规划形成</w:t>
      </w:r>
      <w:r>
        <w:rPr>
          <w:rStyle w:val="8"/>
          <w:rFonts w:hint="eastAsia" w:asciiTheme="minorEastAsia" w:hAnsiTheme="minorEastAsia"/>
          <w:sz w:val="28"/>
          <w:szCs w:val="28"/>
        </w:rPr>
        <w:t>一心、五片区</w:t>
      </w:r>
      <w:r>
        <w:rPr>
          <w:rStyle w:val="8"/>
          <w:rFonts w:hint="eastAsia" w:asciiTheme="minorEastAsia" w:hAnsiTheme="minorEastAsia"/>
          <w:b w:val="0"/>
          <w:sz w:val="28"/>
          <w:szCs w:val="28"/>
        </w:rPr>
        <w:t>的产业布局结构。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一心：综合服务中心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依托村委会形成的综合服务中心。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五片区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活力生活服务区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以现有农村居民点为基底，通过环境整治、配套提升、文化挖掘等综合措施，形成布局美、环境美、建筑美、生活美的活动生活服务区。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休闲农业种植区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以优质耕地为基础，依托良好的山水林资源，主要发展休闲农业、打造集田园体验、休闲运动、有机种植、生态采摘为主题的休闲农业种植区。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生态环境涵养区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依托村域山区林场，发挥土壤肥沃、日照良好、日夜温差大，四周宽阔、空气清新流畅、四周又无污染源、水源水质好的优势，大力种植林果树木，远期打造本地的水果品牌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特色风俗旅游区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依托乌墩岭什班公宫及丰山水库等旅游资源，积极配套商业服务，打造为集农家乐、水库垂钓、山林探险等旅游项目。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畜禽养殖产业区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以现有养猪场为基础，坚持控制农业面源污染、保障生态环境安全，促进养殖业规模化生产，打造为东田镇区域畜禽养殖产业区。</w:t>
      </w:r>
    </w:p>
    <w:p>
      <w:pPr>
        <w:pStyle w:val="12"/>
        <w:numPr>
          <w:ilvl w:val="0"/>
          <w:numId w:val="1"/>
        </w:numPr>
        <w:adjustRightInd w:val="0"/>
        <w:snapToGrid w:val="0"/>
        <w:spacing w:before="156" w:beforeLines="50" w:line="360" w:lineRule="auto"/>
        <w:ind w:firstLineChars="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村域产业规划布局图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hint="eastAsia" w:asciiTheme="minorEastAsia" w:hAnsiTheme="minorEastAsia"/>
          <w:b w:val="0"/>
          <w:sz w:val="28"/>
          <w:szCs w:val="28"/>
        </w:rPr>
      </w:pPr>
      <w:r>
        <w:rPr>
          <w:rFonts w:hint="eastAsia" w:asciiTheme="minorEastAsia" w:hAnsiTheme="minorEastAsia"/>
          <w:bCs/>
          <w:sz w:val="28"/>
          <w:szCs w:val="28"/>
        </w:rPr>
        <w:drawing>
          <wp:inline distT="0" distB="0" distL="0" distR="0">
            <wp:extent cx="5274310" cy="372491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九、国土空间管控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丰山村生态保护红线面积为</w:t>
      </w:r>
      <w:r>
        <w:rPr>
          <w:rFonts w:hint="eastAsia" w:asciiTheme="minorEastAsia" w:hAnsiTheme="minorEastAsia"/>
          <w:bCs/>
          <w:sz w:val="28"/>
          <w:szCs w:val="28"/>
        </w:rPr>
        <w:t xml:space="preserve">187.54 </w:t>
      </w:r>
      <w:r>
        <w:rPr>
          <w:rStyle w:val="8"/>
          <w:rFonts w:hint="eastAsia" w:asciiTheme="minorEastAsia" w:hAnsiTheme="minorEastAsia"/>
          <w:b w:val="0"/>
          <w:sz w:val="28"/>
          <w:szCs w:val="28"/>
        </w:rPr>
        <w:t>公顷。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丰山村永久基本农田面积为</w:t>
      </w:r>
      <w:r>
        <w:rPr>
          <w:rFonts w:hint="eastAsia" w:asciiTheme="minorEastAsia" w:hAnsiTheme="minorEastAsia"/>
          <w:bCs/>
          <w:sz w:val="28"/>
          <w:szCs w:val="28"/>
        </w:rPr>
        <w:t xml:space="preserve">172.70 </w:t>
      </w:r>
      <w:r>
        <w:rPr>
          <w:rStyle w:val="8"/>
          <w:rFonts w:hint="eastAsia" w:asciiTheme="minorEastAsia" w:hAnsiTheme="minorEastAsia"/>
          <w:b w:val="0"/>
          <w:sz w:val="28"/>
          <w:szCs w:val="28"/>
        </w:rPr>
        <w:t>公顷。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hint="eastAsia"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丰山村建设用地规模为：规划划定建设空间面积</w:t>
      </w:r>
      <w:r>
        <w:rPr>
          <w:rStyle w:val="8"/>
          <w:rFonts w:asciiTheme="minorEastAsia" w:hAnsiTheme="minorEastAsia"/>
          <w:b w:val="0"/>
          <w:sz w:val="28"/>
          <w:szCs w:val="28"/>
        </w:rPr>
        <w:t>69.52</w:t>
      </w:r>
      <w:r>
        <w:rPr>
          <w:rStyle w:val="8"/>
          <w:rFonts w:hint="eastAsia" w:asciiTheme="minorEastAsia" w:hAnsiTheme="minorEastAsia"/>
          <w:b w:val="0"/>
          <w:sz w:val="28"/>
          <w:szCs w:val="28"/>
        </w:rPr>
        <w:t>公顷，其中包含村庄建设空间、对外交通用地（东英公路）、种植设施建设用地、水工设施用地和特殊用地等用地空间。规划划定村庄建设空间面积为</w:t>
      </w:r>
      <w:r>
        <w:rPr>
          <w:rStyle w:val="8"/>
          <w:rFonts w:asciiTheme="minorEastAsia" w:hAnsiTheme="minorEastAsia"/>
          <w:b w:val="0"/>
          <w:sz w:val="28"/>
          <w:szCs w:val="28"/>
        </w:rPr>
        <w:t>52.62</w:t>
      </w:r>
      <w:r>
        <w:rPr>
          <w:rStyle w:val="8"/>
          <w:rFonts w:hint="eastAsia" w:asciiTheme="minorEastAsia" w:hAnsiTheme="minorEastAsia"/>
          <w:b w:val="0"/>
          <w:sz w:val="28"/>
          <w:szCs w:val="28"/>
        </w:rPr>
        <w:t>公顷。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hint="eastAsia" w:asciiTheme="minorEastAsia" w:hAnsiTheme="minorEastAsia"/>
          <w:b w:val="0"/>
          <w:sz w:val="28"/>
          <w:szCs w:val="28"/>
        </w:rPr>
      </w:pPr>
    </w:p>
    <w:p>
      <w:pPr>
        <w:adjustRightInd w:val="0"/>
        <w:snapToGrid w:val="0"/>
        <w:spacing w:before="156" w:beforeLines="50" w:line="360" w:lineRule="auto"/>
        <w:jc w:val="center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规划必选指标一览表</w:t>
      </w:r>
    </w:p>
    <w:tbl>
      <w:tblPr>
        <w:tblStyle w:val="6"/>
        <w:tblW w:w="500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6"/>
        <w:gridCol w:w="2714"/>
        <w:gridCol w:w="1308"/>
        <w:gridCol w:w="1308"/>
        <w:gridCol w:w="1308"/>
        <w:gridCol w:w="130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264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Cs w:val="21"/>
              </w:rPr>
              <w:t>指标</w:t>
            </w:r>
          </w:p>
        </w:tc>
        <w:tc>
          <w:tcPr>
            <w:tcW w:w="12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Cs w:val="21"/>
              </w:rPr>
              <w:t>属性</w:t>
            </w:r>
          </w:p>
        </w:tc>
        <w:tc>
          <w:tcPr>
            <w:tcW w:w="12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Cs w:val="21"/>
              </w:rPr>
              <w:t>单位</w:t>
            </w:r>
          </w:p>
        </w:tc>
        <w:tc>
          <w:tcPr>
            <w:tcW w:w="12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Cs w:val="21"/>
              </w:rPr>
              <w:t>现状基期年</w:t>
            </w:r>
          </w:p>
        </w:tc>
        <w:tc>
          <w:tcPr>
            <w:tcW w:w="12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Cs w:val="21"/>
              </w:rPr>
              <w:t>规划目标年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2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生态保护红线面积</w:t>
            </w:r>
          </w:p>
        </w:tc>
        <w:tc>
          <w:tcPr>
            <w:tcW w:w="1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约束性</w:t>
            </w:r>
          </w:p>
        </w:tc>
        <w:tc>
          <w:tcPr>
            <w:tcW w:w="1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公顷</w:t>
            </w:r>
          </w:p>
        </w:tc>
        <w:tc>
          <w:tcPr>
            <w:tcW w:w="1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187.54</w:t>
            </w:r>
          </w:p>
        </w:tc>
        <w:tc>
          <w:tcPr>
            <w:tcW w:w="1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187.54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2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永久基本农田保护面积</w:t>
            </w:r>
          </w:p>
        </w:tc>
        <w:tc>
          <w:tcPr>
            <w:tcW w:w="1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约束性</w:t>
            </w:r>
          </w:p>
        </w:tc>
        <w:tc>
          <w:tcPr>
            <w:tcW w:w="1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公顷</w:t>
            </w:r>
          </w:p>
        </w:tc>
        <w:tc>
          <w:tcPr>
            <w:tcW w:w="1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172.7</w:t>
            </w:r>
          </w:p>
        </w:tc>
        <w:tc>
          <w:tcPr>
            <w:tcW w:w="1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172.7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2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耕地保有量</w:t>
            </w:r>
          </w:p>
        </w:tc>
        <w:tc>
          <w:tcPr>
            <w:tcW w:w="1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约束性</w:t>
            </w:r>
          </w:p>
        </w:tc>
        <w:tc>
          <w:tcPr>
            <w:tcW w:w="1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公顷</w:t>
            </w:r>
          </w:p>
        </w:tc>
        <w:tc>
          <w:tcPr>
            <w:tcW w:w="1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122.35</w:t>
            </w:r>
          </w:p>
        </w:tc>
        <w:tc>
          <w:tcPr>
            <w:tcW w:w="1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198.55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2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村庄建设用地总面积</w:t>
            </w:r>
          </w:p>
        </w:tc>
        <w:tc>
          <w:tcPr>
            <w:tcW w:w="1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约束性</w:t>
            </w:r>
          </w:p>
        </w:tc>
        <w:tc>
          <w:tcPr>
            <w:tcW w:w="1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公顷</w:t>
            </w:r>
          </w:p>
        </w:tc>
        <w:tc>
          <w:tcPr>
            <w:tcW w:w="1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72.74</w:t>
            </w:r>
          </w:p>
        </w:tc>
        <w:tc>
          <w:tcPr>
            <w:tcW w:w="1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69.52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2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农村居民点建设用地规模</w:t>
            </w:r>
          </w:p>
        </w:tc>
        <w:tc>
          <w:tcPr>
            <w:tcW w:w="1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约束性</w:t>
            </w:r>
          </w:p>
        </w:tc>
        <w:tc>
          <w:tcPr>
            <w:tcW w:w="1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公顷</w:t>
            </w:r>
          </w:p>
        </w:tc>
        <w:tc>
          <w:tcPr>
            <w:tcW w:w="1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54.21</w:t>
            </w:r>
          </w:p>
        </w:tc>
        <w:tc>
          <w:tcPr>
            <w:tcW w:w="1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52.62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2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林地保有量</w:t>
            </w:r>
          </w:p>
        </w:tc>
        <w:tc>
          <w:tcPr>
            <w:tcW w:w="1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约束性</w:t>
            </w:r>
          </w:p>
        </w:tc>
        <w:tc>
          <w:tcPr>
            <w:tcW w:w="1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公顷</w:t>
            </w:r>
          </w:p>
        </w:tc>
        <w:tc>
          <w:tcPr>
            <w:tcW w:w="1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536.53</w:t>
            </w:r>
          </w:p>
        </w:tc>
        <w:tc>
          <w:tcPr>
            <w:tcW w:w="1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488.91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2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湿地面积</w:t>
            </w:r>
          </w:p>
        </w:tc>
        <w:tc>
          <w:tcPr>
            <w:tcW w:w="1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约束性</w:t>
            </w:r>
          </w:p>
        </w:tc>
        <w:tc>
          <w:tcPr>
            <w:tcW w:w="1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公顷</w:t>
            </w:r>
          </w:p>
        </w:tc>
        <w:tc>
          <w:tcPr>
            <w:tcW w:w="1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1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2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公共服务设施用地规模</w:t>
            </w:r>
          </w:p>
        </w:tc>
        <w:tc>
          <w:tcPr>
            <w:tcW w:w="1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预期性</w:t>
            </w:r>
          </w:p>
        </w:tc>
        <w:tc>
          <w:tcPr>
            <w:tcW w:w="1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公顷</w:t>
            </w:r>
          </w:p>
        </w:tc>
        <w:tc>
          <w:tcPr>
            <w:tcW w:w="1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0.32</w:t>
            </w:r>
          </w:p>
        </w:tc>
        <w:tc>
          <w:tcPr>
            <w:tcW w:w="1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0.32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2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公用设施用地规模</w:t>
            </w:r>
          </w:p>
        </w:tc>
        <w:tc>
          <w:tcPr>
            <w:tcW w:w="1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预期性</w:t>
            </w:r>
          </w:p>
        </w:tc>
        <w:tc>
          <w:tcPr>
            <w:tcW w:w="1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公顷</w:t>
            </w:r>
          </w:p>
        </w:tc>
        <w:tc>
          <w:tcPr>
            <w:tcW w:w="1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0.02</w:t>
            </w:r>
          </w:p>
        </w:tc>
        <w:tc>
          <w:tcPr>
            <w:tcW w:w="1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0.02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2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人均农村居民点建设用地面积</w:t>
            </w:r>
          </w:p>
        </w:tc>
        <w:tc>
          <w:tcPr>
            <w:tcW w:w="1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预期性</w:t>
            </w:r>
          </w:p>
        </w:tc>
        <w:tc>
          <w:tcPr>
            <w:tcW w:w="1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平方米/人</w:t>
            </w:r>
          </w:p>
        </w:tc>
        <w:tc>
          <w:tcPr>
            <w:tcW w:w="1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151.47</w:t>
            </w:r>
          </w:p>
        </w:tc>
        <w:tc>
          <w:tcPr>
            <w:tcW w:w="1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138.47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2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大陆自然海岸线保有率</w:t>
            </w:r>
          </w:p>
        </w:tc>
        <w:tc>
          <w:tcPr>
            <w:tcW w:w="1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约束性</w:t>
            </w:r>
          </w:p>
        </w:tc>
        <w:tc>
          <w:tcPr>
            <w:tcW w:w="1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%</w:t>
            </w:r>
          </w:p>
        </w:tc>
        <w:tc>
          <w:tcPr>
            <w:tcW w:w="1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1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2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自然和文化遗产</w:t>
            </w:r>
          </w:p>
        </w:tc>
        <w:tc>
          <w:tcPr>
            <w:tcW w:w="1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约束性</w:t>
            </w:r>
          </w:p>
        </w:tc>
        <w:tc>
          <w:tcPr>
            <w:tcW w:w="1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处</w:t>
            </w:r>
          </w:p>
        </w:tc>
        <w:tc>
          <w:tcPr>
            <w:tcW w:w="1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1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0</w:t>
            </w:r>
          </w:p>
        </w:tc>
      </w:tr>
    </w:tbl>
    <w:p>
      <w:pPr>
        <w:pStyle w:val="12"/>
        <w:numPr>
          <w:ilvl w:val="0"/>
          <w:numId w:val="1"/>
        </w:numPr>
        <w:adjustRightInd w:val="0"/>
        <w:snapToGrid w:val="0"/>
        <w:spacing w:before="156" w:beforeLines="50" w:line="360" w:lineRule="auto"/>
        <w:ind w:firstLineChars="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村域国土空间管控图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Fonts w:asciiTheme="minorEastAsia" w:hAnsiTheme="minorEastAsia"/>
          <w:bCs/>
          <w:sz w:val="28"/>
          <w:szCs w:val="28"/>
        </w:rPr>
        <w:drawing>
          <wp:inline distT="0" distB="0" distL="0" distR="0">
            <wp:extent cx="5274310" cy="372491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十、国土空间总体布局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农业用地：770.73公顷，村域范围内占比90.67%；较2020年现状的765.13公顷增加了5.60公顷。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hint="eastAsia"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建设用地：建设用地69.52公顷，规划农村居民点建设用地由现状的54.21公顷，减少到 52.62公顷，占规划村庄面积的6.19%，共计减少1.59公顷，规划人均农村居民点建设用地 138.47 ㎡。</w:t>
      </w:r>
    </w:p>
    <w:p>
      <w:pPr>
        <w:ind w:firstLine="480"/>
        <w:jc w:val="left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生态用地：至规划期末，村庄生态用地197.34公顷，占村域总面积的23.22%，其中生态保护红线</w:t>
      </w:r>
      <w:r>
        <w:rPr>
          <w:rStyle w:val="8"/>
          <w:rFonts w:asciiTheme="minorEastAsia" w:hAnsiTheme="minorEastAsia"/>
          <w:b w:val="0"/>
          <w:sz w:val="28"/>
          <w:szCs w:val="28"/>
        </w:rPr>
        <w:t>187.54</w:t>
      </w:r>
      <w:r>
        <w:rPr>
          <w:rStyle w:val="8"/>
          <w:rFonts w:hint="eastAsia" w:asciiTheme="minorEastAsia" w:hAnsiTheme="minorEastAsia"/>
          <w:b w:val="0"/>
          <w:sz w:val="28"/>
          <w:szCs w:val="28"/>
        </w:rPr>
        <w:t>公顷、陆地水域 9.80公顷。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jc w:val="center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村域国土空间功能结构调整表</w:t>
      </w:r>
    </w:p>
    <w:tbl>
      <w:tblPr>
        <w:tblStyle w:val="6"/>
        <w:tblW w:w="500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09"/>
        <w:gridCol w:w="1486"/>
        <w:gridCol w:w="947"/>
        <w:gridCol w:w="1486"/>
        <w:gridCol w:w="947"/>
        <w:gridCol w:w="94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4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Cs w:val="21"/>
              </w:rPr>
              <w:t>用地类型</w:t>
            </w:r>
          </w:p>
        </w:tc>
        <w:tc>
          <w:tcPr>
            <w:tcW w:w="31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Cs w:val="21"/>
              </w:rPr>
              <w:t>规划基期年</w:t>
            </w:r>
          </w:p>
        </w:tc>
        <w:tc>
          <w:tcPr>
            <w:tcW w:w="31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Cs w:val="21"/>
              </w:rPr>
              <w:t>规划目标年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Cs w:val="21"/>
              </w:rPr>
              <w:t>变化量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4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耕地（01）</w:t>
            </w:r>
          </w:p>
        </w:tc>
        <w:tc>
          <w:tcPr>
            <w:tcW w:w="2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122.35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 xml:space="preserve">14.39 </w:t>
            </w:r>
          </w:p>
        </w:tc>
        <w:tc>
          <w:tcPr>
            <w:tcW w:w="2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198.55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 xml:space="preserve">23.19 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 xml:space="preserve">76.20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4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园地（02）</w:t>
            </w:r>
          </w:p>
        </w:tc>
        <w:tc>
          <w:tcPr>
            <w:tcW w:w="2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103.55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 xml:space="preserve">12.18 </w:t>
            </w:r>
          </w:p>
        </w:tc>
        <w:tc>
          <w:tcPr>
            <w:tcW w:w="2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80.58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 xml:space="preserve">9.41 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 xml:space="preserve">-22.97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4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林地（03）</w:t>
            </w:r>
          </w:p>
        </w:tc>
        <w:tc>
          <w:tcPr>
            <w:tcW w:w="2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536.53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 xml:space="preserve">63.12 </w:t>
            </w:r>
          </w:p>
        </w:tc>
        <w:tc>
          <w:tcPr>
            <w:tcW w:w="2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488.91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 xml:space="preserve">57.11 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 xml:space="preserve">-47.62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4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草地（04）</w:t>
            </w:r>
          </w:p>
        </w:tc>
        <w:tc>
          <w:tcPr>
            <w:tcW w:w="2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2.7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 xml:space="preserve">0.32 </w:t>
            </w:r>
          </w:p>
        </w:tc>
        <w:tc>
          <w:tcPr>
            <w:tcW w:w="2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2.69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 xml:space="preserve">0.31 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 xml:space="preserve">-0.01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4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湿地（05）</w:t>
            </w:r>
          </w:p>
        </w:tc>
        <w:tc>
          <w:tcPr>
            <w:tcW w:w="2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 xml:space="preserve">0.00 </w:t>
            </w:r>
          </w:p>
        </w:tc>
        <w:tc>
          <w:tcPr>
            <w:tcW w:w="2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 xml:space="preserve">0.00 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 xml:space="preserve">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4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农村居民点建设用地</w:t>
            </w:r>
          </w:p>
        </w:tc>
        <w:tc>
          <w:tcPr>
            <w:tcW w:w="2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54.21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 xml:space="preserve">6.38 </w:t>
            </w:r>
          </w:p>
        </w:tc>
        <w:tc>
          <w:tcPr>
            <w:tcW w:w="2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52.61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 xml:space="preserve">6.15 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 xml:space="preserve">-1.60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4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基础设施用地</w:t>
            </w:r>
          </w:p>
        </w:tc>
        <w:tc>
          <w:tcPr>
            <w:tcW w:w="2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14.41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 xml:space="preserve">1.70 </w:t>
            </w:r>
          </w:p>
        </w:tc>
        <w:tc>
          <w:tcPr>
            <w:tcW w:w="2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19.56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 xml:space="preserve">2.28 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 xml:space="preserve">5.15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4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其他建设用地</w:t>
            </w:r>
          </w:p>
        </w:tc>
        <w:tc>
          <w:tcPr>
            <w:tcW w:w="2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4.12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 xml:space="preserve">0.48 </w:t>
            </w:r>
          </w:p>
        </w:tc>
        <w:tc>
          <w:tcPr>
            <w:tcW w:w="2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3.35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 xml:space="preserve">0.39 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 xml:space="preserve">-0.77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4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陆地水域（17）</w:t>
            </w:r>
          </w:p>
        </w:tc>
        <w:tc>
          <w:tcPr>
            <w:tcW w:w="2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12.18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 xml:space="preserve">1.43 </w:t>
            </w:r>
          </w:p>
        </w:tc>
        <w:tc>
          <w:tcPr>
            <w:tcW w:w="2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9.8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 xml:space="preserve">1.14 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 xml:space="preserve">-2.38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4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其他土地（23）</w:t>
            </w:r>
          </w:p>
        </w:tc>
        <w:tc>
          <w:tcPr>
            <w:tcW w:w="2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 xml:space="preserve">0.00 </w:t>
            </w:r>
          </w:p>
        </w:tc>
        <w:tc>
          <w:tcPr>
            <w:tcW w:w="2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 xml:space="preserve">0.00 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 xml:space="preserve">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4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村域总面积</w:t>
            </w:r>
          </w:p>
        </w:tc>
        <w:tc>
          <w:tcPr>
            <w:tcW w:w="2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850.05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 xml:space="preserve">100.00 </w:t>
            </w:r>
          </w:p>
        </w:tc>
        <w:tc>
          <w:tcPr>
            <w:tcW w:w="2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856.05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 xml:space="preserve">100.00 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 xml:space="preserve">6.00 </w:t>
            </w:r>
          </w:p>
        </w:tc>
      </w:tr>
    </w:tbl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hint="eastAsia" w:asciiTheme="minorEastAsia" w:hAnsiTheme="minorEastAsia"/>
          <w:b w:val="0"/>
          <w:sz w:val="28"/>
          <w:szCs w:val="28"/>
        </w:rPr>
      </w:pP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hint="eastAsia" w:asciiTheme="minorEastAsia" w:hAnsiTheme="minorEastAsia"/>
          <w:b w:val="0"/>
          <w:sz w:val="28"/>
          <w:szCs w:val="28"/>
        </w:rPr>
      </w:pPr>
      <w:bookmarkStart w:id="0" w:name="_GoBack"/>
      <w:bookmarkEnd w:id="0"/>
    </w:p>
    <w:p>
      <w:pPr>
        <w:pStyle w:val="12"/>
        <w:numPr>
          <w:ilvl w:val="0"/>
          <w:numId w:val="1"/>
        </w:numPr>
        <w:adjustRightInd w:val="0"/>
        <w:snapToGrid w:val="0"/>
        <w:spacing w:before="156" w:beforeLines="50" w:line="360" w:lineRule="auto"/>
        <w:ind w:firstLineChars="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Style w:val="8"/>
          <w:rFonts w:hint="eastAsia" w:asciiTheme="minorEastAsia" w:hAnsiTheme="minorEastAsia"/>
          <w:b w:val="0"/>
          <w:sz w:val="28"/>
          <w:szCs w:val="28"/>
        </w:rPr>
        <w:t>村域综合规划图</w:t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  <w:r>
        <w:rPr>
          <w:rFonts w:asciiTheme="minorEastAsia" w:hAnsiTheme="minorEastAsia"/>
          <w:bCs/>
          <w:sz w:val="28"/>
          <w:szCs w:val="28"/>
        </w:rPr>
        <w:drawing>
          <wp:inline distT="0" distB="0" distL="0" distR="0">
            <wp:extent cx="5274310" cy="372491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 w:line="360" w:lineRule="auto"/>
        <w:ind w:firstLine="560" w:firstLineChars="200"/>
        <w:rPr>
          <w:rStyle w:val="8"/>
          <w:rFonts w:asciiTheme="minorEastAsia" w:hAnsiTheme="minorEastAsia"/>
          <w:b w:val="0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7253A3A"/>
    <w:multiLevelType w:val="multilevel"/>
    <w:tmpl w:val="37253A3A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063"/>
    <w:rsid w:val="00067358"/>
    <w:rsid w:val="000E5B21"/>
    <w:rsid w:val="00151A58"/>
    <w:rsid w:val="001C48E1"/>
    <w:rsid w:val="00287321"/>
    <w:rsid w:val="002A6063"/>
    <w:rsid w:val="002D2D7D"/>
    <w:rsid w:val="003120DD"/>
    <w:rsid w:val="0032463E"/>
    <w:rsid w:val="00365536"/>
    <w:rsid w:val="00375246"/>
    <w:rsid w:val="005345A2"/>
    <w:rsid w:val="005731E7"/>
    <w:rsid w:val="005F3C8E"/>
    <w:rsid w:val="00681EFB"/>
    <w:rsid w:val="006B395D"/>
    <w:rsid w:val="0075351B"/>
    <w:rsid w:val="007C7B0D"/>
    <w:rsid w:val="007F1997"/>
    <w:rsid w:val="008153F5"/>
    <w:rsid w:val="00887BEC"/>
    <w:rsid w:val="0098058F"/>
    <w:rsid w:val="009E55D9"/>
    <w:rsid w:val="00B97A4B"/>
    <w:rsid w:val="00D524A2"/>
    <w:rsid w:val="00E179AD"/>
    <w:rsid w:val="0F0673BC"/>
    <w:rsid w:val="11627F94"/>
    <w:rsid w:val="1EA82B89"/>
    <w:rsid w:val="213C0BF7"/>
    <w:rsid w:val="3A3E10D2"/>
    <w:rsid w:val="421E7BF8"/>
    <w:rsid w:val="4B447C55"/>
    <w:rsid w:val="4D017276"/>
    <w:rsid w:val="77896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customStyle="1" w:styleId="9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8</Pages>
  <Words>398</Words>
  <Characters>2272</Characters>
  <Lines>18</Lines>
  <Paragraphs>5</Paragraphs>
  <TotalTime>43</TotalTime>
  <ScaleCrop>false</ScaleCrop>
  <LinksUpToDate>false</LinksUpToDate>
  <CharactersWithSpaces>2665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2021-09-19T05:18:00Z</dcterms:created>
  <dc:creator>Administrator</dc:creator>
  <cp:lastModifiedBy>辉达</cp:lastModifiedBy>
  <cp:lastPrinted>2021-09-02T08:25:00Z</cp:lastPrinted>
  <dcterms:modified xsi:type="dcterms:W3CDTF">2021-09-21T09:22:35Z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0EC773C3683D4144A1AD12548F06754A</vt:lpwstr>
  </property>
</Properties>
</file>